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PHÂN PHỐI CHƯƠNG TRÌNH CHUYÊN ĐỀ VẬT LÍ 10 – KNTT (Dự kiến)</w:t>
      </w:r>
    </w:p>
    <w:tbl>
      <w:tblPr>
        <w:tblStyle w:val="Table1"/>
        <w:tblW w:w="10089.0" w:type="dxa"/>
        <w:jc w:val="center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000"/>
      </w:tblPr>
      <w:tblGrid>
        <w:gridCol w:w="849"/>
        <w:gridCol w:w="2132"/>
        <w:gridCol w:w="4838"/>
        <w:gridCol w:w="2270"/>
        <w:tblGridChange w:id="0">
          <w:tblGrid>
            <w:gridCol w:w="849"/>
            <w:gridCol w:w="2132"/>
            <w:gridCol w:w="4838"/>
            <w:gridCol w:w="2270"/>
          </w:tblGrid>
        </w:tblGridChange>
      </w:tblGrid>
      <w:tr>
        <w:trPr>
          <w:cantSplit w:val="0"/>
          <w:trHeight w:val="9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Tên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Chuyên đề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Tên bài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Số tiết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Vật lí trong một số ngành nghề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1. Sơ lược về sự phát triển của Vật lí học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tiết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2. Giới thiệu các lĩnh vực nghiên cứu trong Vật lí học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tiết</w:t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3. Giới thiệu các ứng dụng của Vật lí trong một số ngành nghề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tiết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Trái Đất và bầu trời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4. Xác định phương hướng trên bầu trời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tiết</w:t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5. Chuyển động nhìn thấy của một số thiên thể trên nền trời sao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tiết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6. Một số hiện tượng thiên văn (Nhật thực, nguyệt thực, thủy triều)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tiết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Vật lí với giáo dục về bảo vệ môi trường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7. Sự cần thiết bảo vệ môi trường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tiết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8. Tác động của việc sử dụng năng lượng ở Việt Nam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tiết</w:t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9. Sơ lược về các chất gây ô nhiễm môi trường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tiết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10. Năng lượng tái tạo và một số công nghệ thu năng lượng tái tạo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tiết</w:t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32">
          <w:pPr>
            <w:pStyle w:val="Heading2"/>
            <w:spacing w:after="0" w:before="0" w:lineRule="auto"/>
            <w:jc w:val="center"/>
            <w:rPr>
              <w:sz w:val="26"/>
              <w:szCs w:val="26"/>
            </w:rPr>
          </w:pPr>
          <w:r w:rsidDel="00000000" w:rsidR="00000000" w:rsidRPr="00000000">
            <w:rPr>
              <w:sz w:val="26"/>
              <w:szCs w:val="26"/>
              <w:rtl w:val="0"/>
            </w:rPr>
            <w:t xml:space="preserve">PHÂN PHỐI CHƯƠNG TRÌNH VẬT LÍ 10 – KNTT (Phương án 1)</w:t>
          </w:r>
        </w:p>
      </w:sdtContent>
    </w:sdt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(Có bài dạy và chuyên đề)</w:t>
      </w:r>
    </w:p>
    <w:tbl>
      <w:tblPr>
        <w:tblStyle w:val="Table2"/>
        <w:tblW w:w="10060.0" w:type="dxa"/>
        <w:jc w:val="left"/>
        <w:tblInd w:w="0.0" w:type="dxa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4A0"/>
      </w:tblPr>
      <w:tblGrid>
        <w:gridCol w:w="6360"/>
        <w:gridCol w:w="1361"/>
        <w:gridCol w:w="2339"/>
        <w:tblGridChange w:id="0">
          <w:tblGrid>
            <w:gridCol w:w="6360"/>
            <w:gridCol w:w="1361"/>
            <w:gridCol w:w="2339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6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Mạch nội dung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3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Lớp 10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ind w:left="9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Ghi chú 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Mở đầu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ind w:left="74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 </w:t>
            </w:r>
            <m:oMath>
              <m:r>
                <m:t>→</m:t>
              </m:r>
            </m:oMath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4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Vật lí trong một số ngành nghề (Chuyên đề 1)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ind w:left="5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10 tiết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Động học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ind w:left="74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5 </w:t>
            </w:r>
            <m:oMath>
              <m:r>
                <m:t>→</m:t>
              </m:r>
            </m:oMath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20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Động lực học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ind w:left="74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21 </w:t>
            </w:r>
            <m:oMath>
              <m:r>
                <m:t>→</m:t>
              </m:r>
            </m:oMath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36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Năng lượng, công và công suất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ind w:left="74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37 </w:t>
            </w:r>
            <m:oMath>
              <m:r>
                <m:t>→</m:t>
              </m:r>
            </m:oMath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47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Động lượng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ind w:left="74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48 </w:t>
            </w:r>
            <m:oMath>
              <m:r>
                <m:t>→</m:t>
              </m:r>
            </m:oMath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56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Chuyển động tròn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ind w:left="74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57 </w:t>
            </w:r>
            <m:oMath>
              <m:r>
                <m:t>→</m:t>
              </m:r>
            </m:oMath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60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Biến dạng của vật rắn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ind w:left="74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61 </w:t>
            </w:r>
            <m:oMath>
              <m:r>
                <m:t>→</m:t>
              </m:r>
            </m:oMath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64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Trái Đất và bầu trời (Chuyên đề 2)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ind w:left="5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10 tiết 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Vật lí với giáo dục về bảo vệ môi trường (Chuyên đề 3)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ind w:left="5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15 tiết 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Ôn tập và kiểm tra học kì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ind w:left="5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65 </w:t>
            </w:r>
            <m:oMath>
              <m:r>
                <m:t>→</m:t>
              </m:r>
            </m:oMath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69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Kiểm tra học kì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Số tiết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ind w:left="5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spacing w:after="0" w:before="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PHÂN PHỐI CHƯƠNG TRÌNH VẬT LÍ 10 – KNTT (Phương án 2)</w:t>
      </w:r>
    </w:p>
    <w:p w:rsidR="00000000" w:rsidDel="00000000" w:rsidP="00000000" w:rsidRDefault="00000000" w:rsidRPr="00000000" w14:paraId="0000005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(Có bài dạy và chuyên đề)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- Mỗi tuần có 2 tiết chính khóa và 1 tiết chuyên đề</w:t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7" w:top="567" w:left="851" w:right="85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eastAsia="Calibri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 w:val="1"/>
    <w:pPr>
      <w:spacing w:after="100" w:afterAutospacing="1" w:before="100" w:beforeAutospacing="1" w:line="240" w:lineRule="auto"/>
      <w:outlineLvl w:val="1"/>
    </w:pPr>
    <w:rPr>
      <w:rFonts w:eastAsia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Pr>
      <w:rFonts w:cs="Times New Roman" w:eastAsia="Times New Roman"/>
      <w:b w:val="1"/>
      <w:bCs w:val="1"/>
      <w:sz w:val="36"/>
      <w:szCs w:val="36"/>
    </w:rPr>
  </w:style>
  <w:style w:type="paragraph" w:styleId="BodyText">
    <w:name w:val="Body Text"/>
    <w:basedOn w:val="Normal"/>
    <w:link w:val="BodyTextChar"/>
    <w:uiPriority w:val="1"/>
    <w:qFormat w:val="1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Pr>
      <w:rFonts w:cs="Times New Roman"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Pr>
      <w:color w:val="0000ff"/>
      <w:u w:val="single"/>
    </w:rPr>
  </w:style>
  <w:style w:type="paragraph" w:styleId="NormalWeb">
    <w:name w:val="Normal (Web)"/>
    <w:basedOn w:val="Normal"/>
    <w:unhideWhenUsed w:val="1"/>
    <w:pPr>
      <w:spacing w:after="100" w:afterAutospacing="1" w:before="100" w:before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 w:val="1"/>
    <w:rPr>
      <w:b w:val="1"/>
      <w:bCs w:val="1"/>
    </w:rPr>
  </w:style>
  <w:style w:type="table" w:styleId="LightList-Accent2">
    <w:name w:val="Light List Accent 2"/>
    <w:basedOn w:val="TableNormal"/>
    <w:uiPriority w:val="61"/>
    <w:rsid w:val="002E6BD5"/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6" w:themeColor="accent2" w:val="doub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band1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</w:style>
  <w:style w:type="character" w:styleId="PlaceholderText">
    <w:name w:val="Placeholder Text"/>
    <w:basedOn w:val="DefaultParagraphFont"/>
    <w:uiPriority w:val="99"/>
    <w:unhideWhenUsed w:val="1"/>
    <w:rsid w:val="00995DB8"/>
    <w:rPr>
      <w:color w:val="808080"/>
    </w:rPr>
  </w:style>
  <w:style w:type="table" w:styleId="GridTable2-Accent4">
    <w:name w:val="Grid Table 2 Accent 4"/>
    <w:basedOn w:val="TableNormal"/>
    <w:uiPriority w:val="47"/>
    <w:rsid w:val="00310B5A"/>
    <w:tblPr>
      <w:tblStyleRowBandSize w:val="1"/>
      <w:tblStyleColBandSize w:val="1"/>
      <w:tblBorders>
        <w:top w:color="ffd966" w:space="0" w:sz="2" w:themeColor="accent4" w:themeTint="000099" w:val="single"/>
        <w:bottom w:color="ffd966" w:space="0" w:sz="2" w:themeColor="accent4" w:themeTint="000099" w:val="single"/>
        <w:insideH w:color="ffd966" w:space="0" w:sz="2" w:themeColor="accent4" w:themeTint="000099" w:val="single"/>
        <w:insideV w:color="ffd966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d966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GridTable1Light-Accent4">
    <w:name w:val="Grid Table 1 Light Accent 4"/>
    <w:basedOn w:val="TableNormal"/>
    <w:uiPriority w:val="46"/>
    <w:rsid w:val="00310B5A"/>
    <w:tblPr>
      <w:tblStyleRowBandSize w:val="1"/>
      <w:tblStyleColBandSize w:val="1"/>
      <w:tblBorders>
        <w:top w:color="ffe599" w:space="0" w:sz="4" w:themeColor="accent4" w:themeTint="000066" w:val="single"/>
        <w:left w:color="ffe599" w:space="0" w:sz="4" w:themeColor="accent4" w:themeTint="000066" w:val="single"/>
        <w:bottom w:color="ffe599" w:space="0" w:sz="4" w:themeColor="accent4" w:themeTint="000066" w:val="single"/>
        <w:right w:color="ffe599" w:space="0" w:sz="4" w:themeColor="accent4" w:themeTint="000066" w:val="single"/>
        <w:insideH w:color="ffe599" w:space="0" w:sz="4" w:themeColor="accent4" w:themeTint="000066" w:val="single"/>
        <w:insideV w:color="ffe59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310B5A"/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ListTable3-Accent2">
    <w:name w:val="List Table 3 Accent 2"/>
    <w:basedOn w:val="TableNormal"/>
    <w:uiPriority w:val="48"/>
    <w:rsid w:val="00310B5A"/>
    <w:tblPr>
      <w:tblStyleRowBandSize w:val="1"/>
      <w:tblStyleColBandSize w:val="1"/>
      <w:tblBorders>
        <w:top w:color="ed7d31" w:space="0" w:sz="4" w:themeColor="accent2" w:val="single"/>
        <w:left w:color="ed7d31" w:space="0" w:sz="4" w:themeColor="accent2" w:val="single"/>
        <w:bottom w:color="ed7d31" w:space="0" w:sz="4" w:themeColor="accent2" w:val="single"/>
        <w:right w:color="ed7d31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ed7d31" w:space="0" w:sz="4" w:themeColor="accent2" w:val="single"/>
          <w:right w:color="ed7d31" w:space="0" w:sz="4" w:themeColor="accent2" w:val="single"/>
        </w:tcBorders>
      </w:tcPr>
    </w:tblStylePr>
    <w:tblStylePr w:type="band1Horz">
      <w:tblPr/>
      <w:tcPr>
        <w:tcBorders>
          <w:top w:color="ed7d31" w:space="0" w:sz="4" w:themeColor="accent2" w:val="single"/>
          <w:bottom w:color="ed7d31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ed7d31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ed7d31" w:space="0" w:sz="4" w:themeColor="accent2" w:val="double"/>
          <w:right w:space="0" w:sz="0" w:val="nil"/>
        </w:tcBorders>
      </w:tcPr>
    </w:tblStylePr>
  </w:style>
  <w:style w:type="table" w:styleId="TableGrid" w:customStyle="1">
    <w:name w:val="TableGrid"/>
    <w:rsid w:val="00E06861"/>
    <w:rPr>
      <w:rFonts w:asciiTheme="minorHAnsi" w:cstheme="minorBidi" w:eastAsiaTheme="minorEastAsia" w:hAnsiTheme="minorHAnsi"/>
      <w:sz w:val="22"/>
      <w:szCs w:val="22"/>
      <w:lang w:eastAsia="vi-VN" w:val="vi-VN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>
    <w:name w:val="Grid Table 6 Colorful Accent 2"/>
    <w:basedOn w:val="TableNormal"/>
    <w:uiPriority w:val="51"/>
    <w:rsid w:val="001B2218"/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paragraph" w:styleId="ListParagraph">
    <w:name w:val="List Paragraph"/>
    <w:basedOn w:val="Normal"/>
    <w:uiPriority w:val="99"/>
    <w:qFormat w:val="1"/>
    <w:rsid w:val="00884CC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ed7d31" w:space="0" w:sz="4" w:val="single"/>
          <w:bottom w:color="ed7d31" w:space="0" w:sz="4" w:val="single"/>
          <w:insideH w:color="000000" w:space="0" w:sz="0" w:val="nil"/>
        </w:tcBorders>
      </w:tcPr>
    </w:tblStylePr>
    <w:tblStylePr w:type="band1Vert">
      <w:tcPr>
        <w:tcBorders>
          <w:left w:color="ed7d31" w:space="0" w:sz="4" w:val="single"/>
          <w:right w:color="ed7d31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ed7d31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ed7d31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ed7d31" w:space="0" w:sz="4" w:val="single"/>
          <w:left w:color="000000" w:space="0" w:sz="0" w:val="nil"/>
        </w:tcBorders>
      </w:tcPr>
    </w:tblStylePr>
    <w:tblStylePr w:type="swCell">
      <w:tcPr>
        <w:tcBorders>
          <w:top w:color="ed7d31" w:space="0" w:sz="4" w:val="single"/>
          <w:right w:color="000000" w:space="0" w:sz="0" w:val="nil"/>
        </w:tcBorders>
      </w:tcPr>
    </w:tblStylePr>
  </w:style>
  <w:style w:type="table" w:styleId="Table2">
    <w:basedOn w:val="TableNormal"/>
    <w:rPr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be5d5" w:val="clear"/>
      </w:tcPr>
    </w:tblStylePr>
    <w:tblStylePr w:type="band1Vert">
      <w:tcPr>
        <w:shd w:fill="fbe5d5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f4b083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4b083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/kyoOqZXU/1nSImm8YfQFxSHXw==">AMUW2mW+VPTjDYD/ADWqQt7Qqx3nhon/8KcGtMSax5WEDyzYPcyO8m8Ow1DjjXKYcyDfNnsC0LyGAPDVDIjUlsItKjVlMCE/Ej6Y2O6+4xuaLJFwFC8koR70Ol/W7U66BZHY29mGyFUT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2022-08-16T15:37:00Z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FC8F58FAA9234C5FB9B456B2EBCCC37C</vt:lpwstr>
  </property>
</Properties>
</file>