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28"/>
        </w:rPr>
        <w:t>PHÂN PHỐI CHƯƠNG TRÌNH HOẠT ĐỘNG TRẢI NGHIỆM, HƯỚNG NGHIỆP LỚP 11 – BẢN 2</w:t>
      </w:r>
    </w:p>
    <w:p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Cả năm: 35 tuần x 3 tiết = 105 tiết;</w:t>
      </w:r>
    </w:p>
    <w:p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Học kì I: 18 tuần x 3 tiết/tuần = 54 tiết; Học kì II: 17 tuần x 3 tiết/tuần = 51 tiết</w:t>
      </w:r>
    </w:p>
    <w:p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5760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5760" w:type="dxa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597" w:type="dxa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Thời lượng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1. Tự tin là chính mình</w:t>
            </w:r>
          </w:p>
        </w:tc>
        <w:tc>
          <w:tcPr>
            <w:tcW w:w="5760" w:type="dxa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1. Nhận diện những nét riêng của bản thân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2. Tự tin thể hiện đặc điểm riêng của bản thân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 Phân tích điểm mạnh, điểm yếu của bản thân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4. Điều chỉnh bản thân để thích ứng với sự thay đổi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5. Nỗ lực rèn luyện để tự hoàn thiện bản thân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6. Thu hút các bạn cùng phấn đấu hoàn thiện bản thân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7. Rèn luyện tính tuân thủ kỉ luật và quy định của nhóm, lớp, trường, cộng đồng</w:t>
            </w:r>
          </w:p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8. Đánh giá kết quả trải nghiệm</w:t>
            </w:r>
          </w:p>
        </w:tc>
        <w:tc>
          <w:tcPr>
            <w:tcW w:w="1597" w:type="dxa"/>
            <w:vAlign w:val="center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12 tiết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2. Làm chủ cảm xúc và các mối quan hệ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</w:tcPr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1. Phát triển mối quan hệ tốt đẹp với thầy cô và các bạn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2. Làm chủ mối quan hệ với các bạn ở trường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 Làm chủ và kiểm soát các mối quan hệ qua mạng xã hội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4. Quản lí cảm xúc và ứng xử hợp lí trong các tình huống giao tiếp khác nhau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5. Hoá giải những mâu thuẫn thường xảy ra trong gia đình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6. Đánh giá kết quả trải nghiệm</w:t>
            </w:r>
          </w:p>
        </w:tc>
        <w:tc>
          <w:tcPr>
            <w:tcW w:w="1597" w:type="dxa"/>
            <w:vAlign w:val="center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12 tiết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5" w:type="dxa"/>
            <w:gridSpan w:val="2"/>
            <w:vAlign w:val="center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Đánh giá giữa kì</w:t>
            </w:r>
          </w:p>
        </w:tc>
        <w:tc>
          <w:tcPr>
            <w:tcW w:w="1597" w:type="dxa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 tiết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3. Thực hiện các hoạt động xây dựng và phát triển nhà trường</w:t>
            </w:r>
          </w:p>
        </w:tc>
        <w:tc>
          <w:tcPr>
            <w:tcW w:w="5760" w:type="dxa"/>
          </w:tcPr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1. Tìm hiểu một số hoạt động phát triển nhà trường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2. Hợp tác với các bạn trong việc xây dựng và thực hiện hoạt động phát triển nhà trường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 Thực hiện hoạt động theo chủ đề của Đoàn Thanh niên Cộng sản Hồ Chí Minh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4. Đánh giá hiệu quả hoạt động phát huy truyền thống nhà trường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5. Đánh giá kết quả trải nghiệm</w:t>
            </w:r>
          </w:p>
        </w:tc>
        <w:tc>
          <w:tcPr>
            <w:tcW w:w="1597" w:type="dxa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12 tiết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widowControl w:val="0"/>
              <w:spacing w:before="60" w:after="60" w:line="276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4. Tổ chức cuộc sống gia đình và tài chính cá nhân</w:t>
            </w:r>
          </w:p>
          <w:p>
            <w:pPr>
              <w:pStyle w:val="6"/>
              <w:spacing w:line="276" w:lineRule="auto"/>
              <w:ind w:left="3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760" w:type="dxa"/>
          </w:tcPr>
          <w:p>
            <w:pPr>
              <w:widowControl w:val="0"/>
              <w:spacing w:before="60" w:after="6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1. Quan tâm, chăm sóc người thân trong gia đình</w:t>
            </w:r>
          </w:p>
          <w:p>
            <w:pPr>
              <w:widowControl w:val="0"/>
              <w:spacing w:before="60" w:after="6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2. Tổ chức, sắp xếp hợp lí công việc gia đình</w:t>
            </w:r>
          </w:p>
          <w:p>
            <w:pPr>
              <w:widowControl w:val="0"/>
              <w:spacing w:before="60" w:after="6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 Tự giác và trách nhiệm tham gia các hoạt động lao động trong gia đình</w:t>
            </w:r>
          </w:p>
          <w:p>
            <w:pPr>
              <w:widowControl w:val="0"/>
              <w:spacing w:before="60" w:after="6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4. Lập kế hoạch chi tiêu phù hợp với thu nhập trong gia đình để thực hiện mục tiêu tiết kiệm tài chính</w:t>
            </w:r>
          </w:p>
          <w:p>
            <w:pPr>
              <w:widowControl w:val="0"/>
              <w:spacing w:before="60" w:after="6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5. Xây dựng và thực hiện kế hoạch tài chính cá nhân hợp lí</w:t>
            </w:r>
          </w:p>
          <w:p>
            <w:pPr>
              <w:widowControl w:val="0"/>
              <w:spacing w:before="60" w:after="6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6. Đánh giá kết quả trải nghiệm</w:t>
            </w:r>
          </w:p>
        </w:tc>
        <w:tc>
          <w:tcPr>
            <w:tcW w:w="1597" w:type="dxa"/>
          </w:tcPr>
          <w:p>
            <w:pPr>
              <w:widowControl w:val="0"/>
              <w:spacing w:before="60" w:after="6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12 tiết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5" w:type="dxa"/>
            <w:gridSpan w:val="2"/>
            <w:vAlign w:val="center"/>
          </w:tcPr>
          <w:p>
            <w:pPr>
              <w:widowControl w:val="0"/>
              <w:spacing w:before="60" w:after="6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Đánh giá học kì 1</w:t>
            </w:r>
          </w:p>
        </w:tc>
        <w:tc>
          <w:tcPr>
            <w:tcW w:w="1597" w:type="dxa"/>
          </w:tcPr>
          <w:p>
            <w:pPr>
              <w:widowControl w:val="0"/>
              <w:spacing w:before="60" w:after="6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 tiết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5. Hoạt động phát triển cộng đồng</w:t>
            </w:r>
          </w:p>
        </w:tc>
        <w:tc>
          <w:tcPr>
            <w:tcW w:w="5760" w:type="dxa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1. Xây dựng và phát triển các mối quan hệ với mọi người trong cộng đồng</w:t>
            </w:r>
          </w:p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2. Thể hiện hành vi văn minh ở nơi công cộng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 Thể hiện trách nhiệm của bản thân với cộng đồng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4. Xây dựng và thực hiện kế hoạch truyền thông trong cộng đồng về văn hoá mạng xã hội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5. Xây dựng kế hoạch tổ chức và quản lí việc thực hiện hoạt động phát triển cộng đồng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6. Đánh giá ý nghĩa của hoạt động phát triển cộng đồng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7. Đánh giá kết quả trải nghiệm</w:t>
            </w:r>
          </w:p>
        </w:tc>
        <w:tc>
          <w:tcPr>
            <w:tcW w:w="1597" w:type="dxa"/>
            <w:vAlign w:val="center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12 tiết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6. Bảo vệ môi trường và bảo tồn cảnh quan thiên nhiên </w:t>
            </w:r>
          </w:p>
        </w:tc>
        <w:tc>
          <w:tcPr>
            <w:tcW w:w="5760" w:type="dxa"/>
          </w:tcPr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1. Khảo sát thực trạng môi trường tự nhiên ở địa phương và tác động của sự phát triển sản xuất, kinh doanh đến môi trường; đưa ra kiến nghị về bảo vệ môi trường từ số liệu khảo sát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2. Tuyên truyền đến người dân địa phương về các biện pháp bảo vệ tài nguyên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 Đánh giá thực trạng bảo tồn danh lam thắng cảnh của cộng đồng dân cư tại địa phương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4. Chủ động, tích cực trong việc thực hiện bảo tồn cảnh quan thiên nhiên; nhận ra ý nghĩa của cảnh quan thiên nhiên đối với trạng thái cảm xúc của bản thân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5. Quảng bá hình ảnh cảnh quan thiên nhiên</w:t>
            </w:r>
          </w:p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6. Đánh giá kết quả trải nghiệm</w:t>
            </w:r>
          </w:p>
        </w:tc>
        <w:tc>
          <w:tcPr>
            <w:tcW w:w="1597" w:type="dxa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10 tiết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5" w:type="dxa"/>
            <w:gridSpan w:val="2"/>
            <w:vAlign w:val="center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Đánh giá giữa kì</w:t>
            </w:r>
          </w:p>
        </w:tc>
        <w:tc>
          <w:tcPr>
            <w:tcW w:w="1597" w:type="dxa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 tiết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7. Cơ sở đào tạo và xu hướng phát triển nghề trong xã hội</w:t>
            </w:r>
          </w:p>
        </w:tc>
        <w:tc>
          <w:tcPr>
            <w:tcW w:w="5760" w:type="dxa"/>
          </w:tcPr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1. Phân loại các nhóm nghề cơ bản và chỉ ra những đặc trưng, yêu cầu của từng nhóm nghề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2. Tìm hiểu yêu cầu của nhà tuyển dụng về phẩm chất và năng lực của người lao động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 Giải thích ý nghĩa về việc đảm bảo an toàn và sức khoẻ nghề nghiệp của người lao động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4. Tìm hiểu xu hướng phát triển nghề trong xã hội và thị trường lao động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5. Tìm hiểu các cơ sở đào tạo ngành, nghề liên quan đến việc học tập hướng nghiệp của bản thân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6. Tìm hiểu thông tin cơ bản về các cơ sở đào tạo liên quan đến nhóm nghề, nghề em định lựa chọn</w:t>
            </w:r>
          </w:p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7. Đánh giá kết quả trải nghiệm</w:t>
            </w:r>
          </w:p>
        </w:tc>
        <w:tc>
          <w:tcPr>
            <w:tcW w:w="1597" w:type="dxa"/>
            <w:vAlign w:val="center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12 tiết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8. Rèn luyện bản thân theo nhóm nghề lựa chọn</w:t>
            </w:r>
          </w:p>
        </w:tc>
        <w:tc>
          <w:tcPr>
            <w:tcW w:w="5760" w:type="dxa"/>
          </w:tcPr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1. Tìm hiểu về sự hứng thú, sở trường của bản thân liên quan đến định hướng nghề nghiệp trong tương lai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2. Xây dựng kế hoạch phát triển sở trường của bản thân liên quan đến định hướng nghề nghiệp trong tương lai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 Tham vấn ý kiến của thầy cô, gia đình, các bạn về dự kiến nhóm nghề, nghề lựa chọn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4. Đánh giá sự phù hợp của bản thân với nhóm nghề, nghề lựa chọn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5. Đề xuất biện pháp học tập, rèn luyện theo định hướng nghề nghiệp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6. Xây dựng và thực hiện kế hoạch học tập, rèn luyện theo định hướng nhóm nghề, nghề lựa chọn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7. Đánh giá những khó khăn, thuận lợi trong việc xây dựng và thực hiện kế hoạch học tập, rèn luyện theo nhóm nghề, nghề lựa chọn</w:t>
            </w:r>
          </w:p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8. Đánh giá kết quả trải nghiệm</w:t>
            </w:r>
          </w:p>
        </w:tc>
        <w:tc>
          <w:tcPr>
            <w:tcW w:w="1597" w:type="dxa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12 tiết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5" w:type="dxa"/>
            <w:gridSpan w:val="2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Đánh giá cuối năm</w:t>
            </w:r>
          </w:p>
        </w:tc>
        <w:tc>
          <w:tcPr>
            <w:tcW w:w="1597" w:type="dxa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 tiết</w:t>
            </w:r>
          </w:p>
        </w:tc>
      </w:tr>
    </w:tbl>
    <w:p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/>
    <w:sectPr>
      <w:footerReference r:id="rId5" w:type="default"/>
      <w:pgSz w:w="11907" w:h="16839"/>
      <w:pgMar w:top="1134" w:right="1134" w:bottom="1134" w:left="1701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680"/>
        <w:tab w:val="clear" w:pos="9360"/>
      </w:tabs>
      <w:jc w:val="center"/>
      <w:rPr>
        <w:caps/>
      </w:rPr>
    </w:pPr>
    <w:r>
      <w:rPr>
        <w:caps/>
      </w:rPr>
      <w:fldChar w:fldCharType="begin"/>
    </w:r>
    <w:r>
      <w:rPr>
        <w:caps/>
      </w:rPr>
      <w:instrText xml:space="preserve"> PAGE   \* MERGEFORMAT </w:instrText>
    </w:r>
    <w:r>
      <w:rPr>
        <w:caps/>
      </w:rPr>
      <w:fldChar w:fldCharType="separate"/>
    </w:r>
    <w:r>
      <w:rPr>
        <w:caps/>
      </w:rPr>
      <w:t>2</w:t>
    </w:r>
    <w:r>
      <w:rPr>
        <w:caps/>
      </w:rPr>
      <w:fldChar w:fldCharType="end"/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90"/>
    <w:rsid w:val="00192C90"/>
    <w:rsid w:val="00666B0D"/>
    <w:rsid w:val="711D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mbria" w:hAnsi="Cambria" w:eastAsia="Cambria" w:cs="Cambria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680"/>
        <w:tab w:val="right" w:pos="9360"/>
      </w:tabs>
    </w:pPr>
  </w:style>
  <w:style w:type="table" w:styleId="5">
    <w:name w:val="Table Grid"/>
    <w:basedOn w:val="3"/>
    <w:uiPriority w:val="59"/>
    <w:pPr>
      <w:spacing w:after="0" w:line="240" w:lineRule="auto"/>
    </w:pPr>
    <w:rPr>
      <w:rFonts w:ascii="Cambria" w:hAnsi="Cambria" w:eastAsia="Cambria" w:cs="Cambria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link w:val="7"/>
    <w:qFormat/>
    <w:uiPriority w:val="34"/>
    <w:pPr>
      <w:ind w:left="720"/>
      <w:contextualSpacing/>
    </w:pPr>
  </w:style>
  <w:style w:type="character" w:customStyle="1" w:styleId="7">
    <w:name w:val="List Paragraph Char"/>
    <w:basedOn w:val="2"/>
    <w:link w:val="6"/>
    <w:qFormat/>
    <w:locked/>
    <w:uiPriority w:val="34"/>
    <w:rPr>
      <w:rFonts w:ascii="Cambria" w:hAnsi="Cambria" w:eastAsia="Cambria" w:cs="Cambria"/>
      <w:sz w:val="24"/>
      <w:szCs w:val="24"/>
    </w:rPr>
  </w:style>
  <w:style w:type="character" w:customStyle="1" w:styleId="8">
    <w:name w:val="Footer Char"/>
    <w:basedOn w:val="2"/>
    <w:link w:val="4"/>
    <w:uiPriority w:val="99"/>
    <w:rPr>
      <w:rFonts w:ascii="Cambria" w:hAnsi="Cambria" w:eastAsia="Cambria" w:cs="Cambr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3752</Characters>
  <DocSecurity>0</DocSecurity>
  <Lines>31</Lines>
  <Paragraphs>8</Paragraphs>
  <ScaleCrop>false</ScaleCrop>
  <LinksUpToDate>false</LinksUpToDate>
  <CharactersWithSpaces>4402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2023-03-28T09:00:00Z</dcterms:created>
  <dcterms:modified xsi:type="dcterms:W3CDTF">2023-03-29T14:50:33Z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581AABF524AE41CFA6B70B8EECA37D83</vt:lpwstr>
  </property>
</Properties>
</file>