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B692">
      <w:pPr>
        <w:bidi w:val="0"/>
        <w:jc w:val="center"/>
      </w:pPr>
      <w:r>
        <w:rPr>
          <w:b/>
          <w:bCs/>
          <w:sz w:val="32"/>
          <w:szCs w:val="32"/>
        </w:rPr>
        <w:t>CHỦ ĐỀ 2</w:t>
      </w:r>
      <w:r>
        <w:rPr>
          <w:b/>
          <w:bCs/>
          <w:sz w:val="32"/>
          <w:szCs w:val="32"/>
        </w:rPr>
        <w:tab/>
      </w:r>
      <w:r>
        <w:rPr>
          <w:b/>
          <w:bCs/>
          <w:sz w:val="32"/>
          <w:szCs w:val="32"/>
        </w:rPr>
        <w:t>KHÁM PHÁ BẢN THÂN</w:t>
      </w:r>
    </w:p>
    <w:p w14:paraId="5527446C">
      <w:pPr>
        <w:bidi w:val="0"/>
        <w:jc w:val="center"/>
      </w:pPr>
      <w:r>
        <w:t>(12 tiết)</w:t>
      </w:r>
    </w:p>
    <w:p w14:paraId="6155C6D0">
      <w:pPr>
        <w:bidi w:val="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MỤC TIÊU CHỦ ĐỀ </w:t>
      </w:r>
      <w:bookmarkStart w:id="0" w:name="_GoBack"/>
      <w:bookmarkEnd w:id="0"/>
    </w:p>
    <w:p w14:paraId="0282B34C">
      <w:pPr>
        <w:bidi w:val="0"/>
        <w:rPr>
          <w:rFonts w:hint="default" w:ascii="Times New Roman" w:hAnsi="Times New Roman" w:cs="Times New Roman"/>
          <w:sz w:val="28"/>
          <w:szCs w:val="28"/>
        </w:rPr>
      </w:pPr>
      <w:r>
        <w:rPr>
          <w:rFonts w:hint="default" w:ascii="Times New Roman" w:hAnsi="Times New Roman" w:cs="Times New Roman"/>
          <w:sz w:val="28"/>
          <w:szCs w:val="28"/>
        </w:rPr>
        <w:t>Sau khi tham gia các hoạt động trong chủ đề này, HS:</w:t>
      </w:r>
    </w:p>
    <w:p w14:paraId="110DECCD">
      <w:pPr>
        <w:bidi w:val="0"/>
        <w:rPr>
          <w:rFonts w:hint="default" w:ascii="Times New Roman" w:hAnsi="Times New Roman" w:cs="Times New Roman"/>
          <w:sz w:val="28"/>
          <w:szCs w:val="28"/>
        </w:rPr>
      </w:pPr>
      <w:r>
        <w:rPr>
          <w:rFonts w:hint="default" w:ascii="Times New Roman" w:hAnsi="Times New Roman" w:cs="Times New Roman"/>
          <w:sz w:val="28"/>
          <w:szCs w:val="28"/>
        </w:rPr>
        <w:t>– Nhận diện được điểm tích cực và điểm chưa tích cực trong hành vi giao tiếp, ứng xử của bản thân.</w:t>
      </w:r>
    </w:p>
    <w:p w14:paraId="4C9F3765">
      <w:pPr>
        <w:bidi w:val="0"/>
        <w:rPr>
          <w:rFonts w:hint="default" w:ascii="Times New Roman" w:hAnsi="Times New Roman" w:cs="Times New Roman"/>
          <w:sz w:val="28"/>
          <w:szCs w:val="28"/>
        </w:rPr>
      </w:pPr>
      <w:r>
        <w:rPr>
          <w:rFonts w:hint="default" w:ascii="Times New Roman" w:hAnsi="Times New Roman" w:cs="Times New Roman"/>
          <w:sz w:val="28"/>
          <w:szCs w:val="28"/>
        </w:rPr>
        <w:t>– Khám phá được khả năng thích nghi của bản thân với sự thay đổi trong một số tình huống của cuộc sống.</w:t>
      </w:r>
    </w:p>
    <w:p w14:paraId="4C63FF3A">
      <w:pPr>
        <w:bidi w:val="0"/>
        <w:rPr>
          <w:rFonts w:hint="default" w:ascii="Times New Roman" w:hAnsi="Times New Roman" w:cs="Times New Roman"/>
          <w:sz w:val="28"/>
          <w:szCs w:val="28"/>
        </w:rPr>
      </w:pPr>
      <w:r>
        <w:rPr>
          <w:rFonts w:hint="default" w:ascii="Times New Roman" w:hAnsi="Times New Roman" w:cs="Times New Roman"/>
          <w:sz w:val="28"/>
          <w:szCs w:val="28"/>
        </w:rPr>
        <w:t>– Hình thành và phát triển các phẩm chất:</w:t>
      </w:r>
    </w:p>
    <w:p w14:paraId="0C55E933">
      <w:pPr>
        <w:bidi w:val="0"/>
        <w:rPr>
          <w:rFonts w:hint="default" w:ascii="Times New Roman" w:hAnsi="Times New Roman" w:cs="Times New Roman"/>
          <w:sz w:val="28"/>
          <w:szCs w:val="28"/>
        </w:rPr>
      </w:pPr>
      <w:r>
        <w:rPr>
          <w:rFonts w:hint="default" w:ascii="Times New Roman" w:hAnsi="Times New Roman" w:cs="Times New Roman"/>
          <w:sz w:val="28"/>
          <w:szCs w:val="28"/>
        </w:rPr>
        <w:t>+  Có trách nhiệm với bản thân.</w:t>
      </w:r>
    </w:p>
    <w:p w14:paraId="6577D265">
      <w:pPr>
        <w:bidi w:val="0"/>
        <w:rPr>
          <w:rFonts w:hint="default" w:ascii="Times New Roman" w:hAnsi="Times New Roman" w:cs="Times New Roman"/>
          <w:sz w:val="28"/>
          <w:szCs w:val="28"/>
        </w:rPr>
      </w:pPr>
      <w:r>
        <w:rPr>
          <w:rFonts w:hint="default" w:ascii="Times New Roman" w:hAnsi="Times New Roman" w:cs="Times New Roman"/>
          <w:sz w:val="28"/>
          <w:szCs w:val="28"/>
        </w:rPr>
        <w:t>+  Kiên trì, chăm chỉ rèn luyện bản thân.</w:t>
      </w:r>
    </w:p>
    <w:p w14:paraId="35D6A01E">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Hình thành và phát triển các năng lực: </w:t>
      </w:r>
    </w:p>
    <w:p w14:paraId="5B65642C">
      <w:pPr>
        <w:bidi w:val="0"/>
        <w:rPr>
          <w:rFonts w:hint="default" w:ascii="Times New Roman" w:hAnsi="Times New Roman" w:cs="Times New Roman"/>
          <w:sz w:val="28"/>
          <w:szCs w:val="28"/>
        </w:rPr>
      </w:pPr>
      <w:r>
        <w:rPr>
          <w:rFonts w:hint="default" w:ascii="Times New Roman" w:hAnsi="Times New Roman" w:cs="Times New Roman"/>
          <w:sz w:val="28"/>
          <w:szCs w:val="28"/>
        </w:rPr>
        <w:t>+  Giao tiếp, ứng xử với người thân, bạn bè, thầy cô và mọi người phù hợp với các chuẩn mực xã hội.</w:t>
      </w:r>
    </w:p>
    <w:p w14:paraId="254A260C">
      <w:pPr>
        <w:bidi w:val="0"/>
        <w:rPr>
          <w:rFonts w:hint="default" w:ascii="Times New Roman" w:hAnsi="Times New Roman" w:cs="Times New Roman"/>
          <w:sz w:val="28"/>
          <w:szCs w:val="28"/>
        </w:rPr>
      </w:pPr>
      <w:r>
        <w:rPr>
          <w:rFonts w:hint="default" w:ascii="Times New Roman" w:hAnsi="Times New Roman" w:cs="Times New Roman"/>
          <w:sz w:val="28"/>
          <w:szCs w:val="28"/>
        </w:rPr>
        <w:t>+  Giải quyết các vấn đề trong giao tiếp, ứng xử; trong quá trình thích nghi với những thay đổi trong cuộc sống.</w:t>
      </w:r>
    </w:p>
    <w:p w14:paraId="67903A37">
      <w:pPr>
        <w:bidi w:val="0"/>
        <w:rPr>
          <w:rFonts w:hint="default" w:ascii="Times New Roman" w:hAnsi="Times New Roman" w:cs="Times New Roman"/>
          <w:sz w:val="28"/>
          <w:szCs w:val="28"/>
        </w:rPr>
      </w:pPr>
      <w:r>
        <w:rPr>
          <w:rFonts w:hint="default" w:ascii="Times New Roman" w:hAnsi="Times New Roman" w:cs="Times New Roman"/>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06"/>
        <w:gridCol w:w="7081"/>
      </w:tblGrid>
      <w:tr w14:paraId="664F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06" w:type="dxa"/>
          </w:tcPr>
          <w:p w14:paraId="1DAAC2B2">
            <w:pPr>
              <w:bidi w:val="0"/>
              <w:jc w:val="center"/>
              <w:rPr>
                <w:rFonts w:hint="default" w:cs="Times New Roman"/>
                <w:b/>
                <w:bCs/>
                <w:sz w:val="28"/>
                <w:szCs w:val="28"/>
                <w:vertAlign w:val="baseline"/>
                <w:lang w:val="en-US"/>
              </w:rPr>
            </w:pPr>
            <w:r>
              <w:rPr>
                <w:rFonts w:hint="default" w:cs="Times New Roman"/>
                <w:b/>
                <w:bCs/>
                <w:sz w:val="28"/>
                <w:szCs w:val="28"/>
                <w:vertAlign w:val="baseline"/>
                <w:lang w:val="en-US"/>
              </w:rPr>
              <w:t>Tuần 4</w:t>
            </w:r>
          </w:p>
          <w:p w14:paraId="2C780C8C">
            <w:pPr>
              <w:bidi w:val="0"/>
              <w:jc w:val="center"/>
              <w:rPr>
                <w:rFonts w:hint="default" w:cs="Times New Roman"/>
                <w:b/>
                <w:bCs/>
                <w:sz w:val="28"/>
                <w:szCs w:val="28"/>
                <w:vertAlign w:val="baseline"/>
                <w:lang w:val="en-US"/>
              </w:rPr>
            </w:pPr>
            <w:r>
              <w:rPr>
                <w:rFonts w:hint="default" w:cs="Times New Roman"/>
                <w:b/>
                <w:bCs/>
                <w:sz w:val="28"/>
                <w:szCs w:val="28"/>
                <w:vertAlign w:val="baseline"/>
                <w:lang w:val="en-US"/>
              </w:rPr>
              <w:t>Tiết 10 -11-12</w:t>
            </w:r>
          </w:p>
        </w:tc>
        <w:tc>
          <w:tcPr>
            <w:tcW w:w="7081" w:type="dxa"/>
          </w:tcPr>
          <w:p w14:paraId="240D788C">
            <w:pPr>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rPr>
              <w:t>NHẬN DIỆN ĐIỂM TÍCH CỰC VÀ CHƯA TÍCH CỰC TRONG HÀNH VI GIAO TIẾP, ỨNG XỬ CỦA BẢN THÂN</w:t>
            </w:r>
          </w:p>
          <w:p w14:paraId="54305AAE">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(Hoạt động định hướng: 1 tiết;</w:t>
            </w:r>
          </w:p>
          <w:p w14:paraId="4C0D7EAA">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Hoạt động giáo dục theo chủ đề: 4 tiết; </w:t>
            </w:r>
          </w:p>
          <w:p w14:paraId="4765C483">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vertAlign w:val="baseline"/>
              </w:rPr>
            </w:pPr>
            <w:r>
              <w:rPr>
                <w:rFonts w:hint="default" w:ascii="Times New Roman" w:hAnsi="Times New Roman" w:cs="Times New Roman"/>
                <w:b w:val="0"/>
                <w:bCs w:val="0"/>
                <w:sz w:val="28"/>
                <w:szCs w:val="28"/>
              </w:rPr>
              <w:t>Hoạt động phản hồi kết quả vận dụng:</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1 tiết)</w:t>
            </w:r>
          </w:p>
        </w:tc>
      </w:tr>
    </w:tbl>
    <w:p w14:paraId="7352CA6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 MỤC TIÊU</w:t>
      </w:r>
    </w:p>
    <w:p w14:paraId="178AD99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Sau khi tham gia trải nghiệm các hoạt động trong nội dung này, HS sẽ:</w:t>
      </w:r>
    </w:p>
    <w:p w14:paraId="10ABDF7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Về kiến thức</w:t>
      </w:r>
    </w:p>
    <w:p w14:paraId="415E0CB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Xác định được điểm tích cực và chưa tích cực trong hành vi giao tiếp, ứng xử.</w:t>
      </w:r>
    </w:p>
    <w:p w14:paraId="77FB1C7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Về năng lực</w:t>
      </w:r>
    </w:p>
    <w:p w14:paraId="67B1D38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Hình thành năng lực tự chủ trong hành vi giao tiếp, ứng xử.</w:t>
      </w:r>
    </w:p>
    <w:p w14:paraId="6DCB02B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Hình thành năng lực giải quyết vấn đề và sáng tạo trong các tình huống giao tiếp.</w:t>
      </w:r>
    </w:p>
    <w:p w14:paraId="5747CA4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rPr>
        <w:t>.  Về phẩm ch</w:t>
      </w:r>
      <w:r>
        <w:rPr>
          <w:rFonts w:hint="default" w:ascii="Times New Roman" w:hAnsi="Times New Roman" w:cs="Times New Roman"/>
          <w:b/>
          <w:bCs/>
          <w:sz w:val="28"/>
          <w:szCs w:val="28"/>
        </w:rPr>
        <w:t>ất</w:t>
      </w:r>
    </w:p>
    <w:p w14:paraId="23CA130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Phát triển các phẩm chất: </w:t>
      </w:r>
    </w:p>
    <w:p w14:paraId="6317B1D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Có trách nhiệm với hành vi giao tiếp, ứng xử của bản thân.</w:t>
      </w:r>
    </w:p>
    <w:p w14:paraId="22B1BD6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Tự tin trong giao tiếp, ứng xử.</w:t>
      </w:r>
    </w:p>
    <w:p w14:paraId="3661508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Tôn trọng đối tượng giao tiếp.</w:t>
      </w:r>
    </w:p>
    <w:p w14:paraId="31D71D2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Kiên trì, chăm chỉ rèn luyện bản thân.</w:t>
      </w:r>
    </w:p>
    <w:p w14:paraId="27395F6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II. THIẾT BỊ GIÁO DỤC VÀ HỌC LIỆU</w:t>
      </w:r>
    </w:p>
    <w:p w14:paraId="7442725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1.  GV chuẩn bị</w:t>
      </w:r>
    </w:p>
    <w:p w14:paraId="35D7AF9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Không gian đủ rộng cho HS tham gia diễn đàn “Giới trẻ hiện nay và các chuẩn mực giao tiếp, ứng xử trong xã hội”.</w:t>
      </w:r>
    </w:p>
    <w:p w14:paraId="46EBC06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Các phương tiện, thiết bị âm thanh.</w:t>
      </w:r>
    </w:p>
    <w:p w14:paraId="3ADA85E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Thành lập Ban Tổ chức (BTC) diễn đàn gồm: đại diện Ban Giám hiệu, TPT Đội, đại diện chi đội trưởng một số lớp hoặc nhóm HS nòng cốt. </w:t>
      </w:r>
    </w:p>
    <w:p w14:paraId="4ED6827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BTC diễn đàn thống nhất mục tiêu, nội dung, cách tiến hành hoạt động và thời gian, địa điểm tổ chức hoạt động. </w:t>
      </w:r>
    </w:p>
    <w:p w14:paraId="67261FF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Thành lập Ban Cố vấn: có thể mời 1 GV chủ nhiệm (GVCN), 1 GV dạy môn Giáo dục công dân, 1 GV phụ trách công tác tư vấn tâm lí của trường.</w:t>
      </w:r>
    </w:p>
    <w:p w14:paraId="244B3C6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Cử HS dẫn chương trình.</w:t>
      </w:r>
    </w:p>
    <w:p w14:paraId="4112B51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GVCN các lớp thông báo cho HS về mục tiêu, nội dung, thời gian và địa điểm tổ chức diễn đàn để HS chuẩn bị các ý kiến trình bày, trao đổi trong diễn đàn. </w:t>
      </w:r>
    </w:p>
    <w:p w14:paraId="437BD66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Thu thập những câu hỏi của HS về chủ đề diễn đàn. </w:t>
      </w:r>
    </w:p>
    <w:p w14:paraId="4E13E45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Một vài tranh ảnh, băng rôn trang trí địa điểm nơi tổ chức diễn đàn.</w:t>
      </w:r>
    </w:p>
    <w:p w14:paraId="4B63789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Ghế ngồi cho Ban Cố vấn.</w:t>
      </w:r>
    </w:p>
    <w:p w14:paraId="56DED5C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Xây dựng chương trình diễn đàn “Giới trẻ hiện nay và các chuẩn mực giao tiếp, ứng xử trong xã hội”.</w:t>
      </w:r>
    </w:p>
    <w:p w14:paraId="0E7B2E9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Video clip về một số hình ảnh giao tiếp, ứng xử của giới trẻ hiện nay.</w:t>
      </w:r>
    </w:p>
    <w:p w14:paraId="6F84A5F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Những điểm tích cực và chưa tích cực trong hành vi giao tiếp, ứng xử.</w:t>
      </w:r>
    </w:p>
    <w:p w14:paraId="1D15E73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Những trường hợp, tình huống thực tế về giao tiếp, ứng xử tích cực và chưa tích cực của HS THCS ở địa phương.</w:t>
      </w:r>
    </w:p>
    <w:p w14:paraId="25E1D28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Ví dụ thông điệp về giao tiếp, ứng xử tích cực, hiệu quả.</w:t>
      </w:r>
    </w:p>
    <w:p w14:paraId="5927B0C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Giấy A0, bút dạ để ghi kết quả thảo luận nhóm.</w:t>
      </w:r>
    </w:p>
    <w:p w14:paraId="6DC4F2E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2.  HS chuẩn bị</w:t>
      </w:r>
    </w:p>
    <w:p w14:paraId="3385314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SGK và SBT Hoạt động trải nghiệm, hướng nghiệp 9.</w:t>
      </w:r>
    </w:p>
    <w:p w14:paraId="09F16EA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Tập một số tiết mục văn nghệ về giao tiếp, ứng xử tích cực và chưa tích cực.</w:t>
      </w:r>
    </w:p>
    <w:p w14:paraId="02489FB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Ý kiến tham gia diễn đàn “Giới trẻ hiện nay và các chuẩn mực giao tiếp, ứng xử trong xã hội”.</w:t>
      </w:r>
    </w:p>
    <w:p w14:paraId="3CEED6F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Tìm một số ví dụ thực tế về giao tiếp, ứng xử tích cực và chưa tích cực của HS THCS ở địa phương và trong cộng đồng dân cư địa phương.</w:t>
      </w:r>
    </w:p>
    <w:p w14:paraId="20130C0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III. TIẾN TRÌNH TỔ CHỨC THỰC HIỆN</w:t>
      </w:r>
    </w:p>
    <w:p w14:paraId="15755625">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A. HOẠT ĐỘNG ĐỊNH HƯỚNG</w:t>
      </w:r>
    </w:p>
    <w:p w14:paraId="38961332">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 SHDC q</w:t>
      </w:r>
      <w:r>
        <w:rPr>
          <w:rFonts w:hint="default" w:ascii="Times New Roman" w:hAnsi="Times New Roman" w:cs="Times New Roman"/>
          <w:b w:val="0"/>
          <w:bCs w:val="0"/>
          <w:sz w:val="28"/>
          <w:szCs w:val="28"/>
        </w:rPr>
        <w:t>uy mô lớp)</w:t>
      </w:r>
    </w:p>
    <w:p w14:paraId="41D0E01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Diễn đàn về chủ đề “Giới trẻ hiện nay và các chuẩn mực giao tiếp,  ứng xử trong xã hội”  </w:t>
      </w:r>
    </w:p>
    <w:p w14:paraId="0AFAA966">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79592F3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trình bày được một số chuẩn mực giao tiếp, ứng xử trong xã hội.</w:t>
      </w:r>
    </w:p>
    <w:p w14:paraId="1D34093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Đưa ra được nhận xét về các hành vi giao tiếp, ứng xử của thanh thiếu niên hiện nay, đối chiếu với các chuẩn mực xã hội. </w:t>
      </w:r>
    </w:p>
    <w:p w14:paraId="7EC989B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8969"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87" w:type="dxa"/>
          <w:bottom w:w="61" w:type="dxa"/>
          <w:right w:w="75" w:type="dxa"/>
        </w:tblCellMar>
      </w:tblPr>
      <w:tblGrid>
        <w:gridCol w:w="3300"/>
        <w:gridCol w:w="3960"/>
        <w:gridCol w:w="1707"/>
        <w:gridCol w:w="2"/>
      </w:tblGrid>
      <w:tr w14:paraId="4C50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wAfter w:w="0" w:type="auto"/>
          <w:trHeight w:val="790" w:hRule="atLeast"/>
        </w:trPr>
        <w:tc>
          <w:tcPr>
            <w:tcW w:w="3300" w:type="dxa"/>
            <w:shd w:val="clear" w:color="auto" w:fill="FFFFFF" w:themeFill="background1"/>
            <w:vAlign w:val="center"/>
          </w:tcPr>
          <w:p w14:paraId="56010F56">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cs="Times New Roman"/>
                <w:b/>
                <w:bCs/>
                <w:sz w:val="28"/>
                <w:szCs w:val="28"/>
                <w:lang w:val="en-US"/>
              </w:rPr>
              <w:t>G</w:t>
            </w:r>
            <w:r>
              <w:rPr>
                <w:rFonts w:hint="default" w:ascii="Times New Roman" w:hAnsi="Times New Roman" w:cs="Times New Roman"/>
                <w:b/>
                <w:bCs/>
                <w:sz w:val="28"/>
                <w:szCs w:val="28"/>
              </w:rPr>
              <w:t>v</w:t>
            </w:r>
          </w:p>
        </w:tc>
        <w:tc>
          <w:tcPr>
            <w:tcW w:w="3960" w:type="dxa"/>
            <w:shd w:val="clear" w:color="auto" w:fill="FFFFFF" w:themeFill="background1"/>
            <w:vAlign w:val="center"/>
          </w:tcPr>
          <w:p w14:paraId="368505DA">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cs="Times New Roman"/>
                <w:b/>
                <w:bCs/>
                <w:sz w:val="28"/>
                <w:szCs w:val="28"/>
                <w:lang w:val="en-US"/>
              </w:rPr>
              <w:t>H</w:t>
            </w:r>
            <w:r>
              <w:rPr>
                <w:rFonts w:hint="default" w:ascii="Times New Roman" w:hAnsi="Times New Roman" w:cs="Times New Roman"/>
                <w:b/>
                <w:bCs/>
                <w:sz w:val="28"/>
                <w:szCs w:val="28"/>
              </w:rPr>
              <w:t>S</w:t>
            </w:r>
          </w:p>
        </w:tc>
        <w:tc>
          <w:tcPr>
            <w:tcW w:w="1709" w:type="dxa"/>
            <w:gridSpan w:val="2"/>
            <w:shd w:val="clear" w:color="auto" w:fill="FFFFFF" w:themeFill="background1"/>
            <w:vAlign w:val="center"/>
          </w:tcPr>
          <w:p w14:paraId="35AA129F">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072D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wAfter w:w="0" w:type="auto"/>
          <w:trHeight w:val="415" w:hRule="atLeast"/>
        </w:trPr>
        <w:tc>
          <w:tcPr>
            <w:tcW w:w="3300" w:type="dxa"/>
            <w:shd w:val="clear" w:color="auto" w:fill="FFFFFF" w:themeFill="background1"/>
          </w:tcPr>
          <w:p w14:paraId="4FA0DFB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Ổn định tổ chức, đón tiếp đại biểu (nếu có). </w:t>
            </w:r>
          </w:p>
        </w:tc>
        <w:tc>
          <w:tcPr>
            <w:tcW w:w="3960" w:type="dxa"/>
            <w:shd w:val="clear" w:color="auto" w:fill="FFFFFF" w:themeFill="background1"/>
          </w:tcPr>
          <w:p w14:paraId="740E009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Văn nghệ chào mừng (nếu có). </w:t>
            </w:r>
          </w:p>
        </w:tc>
        <w:tc>
          <w:tcPr>
            <w:tcW w:w="1709" w:type="dxa"/>
            <w:gridSpan w:val="2"/>
            <w:shd w:val="clear" w:color="auto" w:fill="FFFFFF" w:themeFill="background1"/>
          </w:tcPr>
          <w:p w14:paraId="6612623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539E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1" w:type="dxa"/>
            <w:left w:w="87" w:type="dxa"/>
            <w:bottom w:w="61" w:type="dxa"/>
            <w:right w:w="75" w:type="dxa"/>
          </w:tblCellMar>
        </w:tblPrEx>
        <w:trPr>
          <w:wAfter w:w="0" w:type="auto"/>
          <w:trHeight w:val="2680" w:hRule="atLeast"/>
        </w:trPr>
        <w:tc>
          <w:tcPr>
            <w:tcW w:w="3300" w:type="dxa"/>
            <w:shd w:val="clear" w:color="auto" w:fill="FFFFFF" w:themeFill="background1"/>
          </w:tcPr>
          <w:p w14:paraId="4D34D70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Đại diện BTC lên tuyên bố lí do, khai mạc diễn đàn và định hướng nội dung diễn đàn, bao gồm: </w:t>
            </w:r>
          </w:p>
          <w:p w14:paraId="63798DC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Các chuẩn mực giao tiếp, ứng xử xã hội và ý nghĩa, tầm quan trọng của việc thực hiện các chuẩn mực giao tiếp, ứng xử xã hội.</w:t>
            </w:r>
          </w:p>
          <w:p w14:paraId="6EDCE1E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Thực trạng hành vi giao tiếp, ứng xử của thanh thiếu niên hiện nay đối chiếu với các chuẩn mực giao tiếp, ứng xử xã hội.</w:t>
            </w:r>
          </w:p>
        </w:tc>
        <w:tc>
          <w:tcPr>
            <w:tcW w:w="3960" w:type="dxa"/>
            <w:shd w:val="clear" w:color="auto" w:fill="FFFFFF" w:themeFill="background1"/>
          </w:tcPr>
          <w:p w14:paraId="63212A8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MC giới thiệu Ban Cố vấn.</w:t>
            </w:r>
          </w:p>
          <w:p w14:paraId="14C3696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Mời các bạn HS cùng xem video clip về một số hình ảnh giao tiếp, ứng xử của giới trẻ hiện nay.</w:t>
            </w:r>
          </w:p>
          <w:p w14:paraId="0AC020A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c>
          <w:tcPr>
            <w:tcW w:w="1709" w:type="dxa"/>
            <w:gridSpan w:val="2"/>
            <w:shd w:val="clear" w:color="auto" w:fill="FFFFFF" w:themeFill="background1"/>
          </w:tcPr>
          <w:p w14:paraId="5F6A0BA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7AE4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87" w:type="dxa"/>
            <w:bottom w:w="61" w:type="dxa"/>
            <w:right w:w="75" w:type="dxa"/>
          </w:tblCellMar>
        </w:tblPrEx>
        <w:trPr>
          <w:wAfter w:w="0" w:type="auto"/>
          <w:trHeight w:val="1478" w:hRule="atLeast"/>
        </w:trPr>
        <w:tc>
          <w:tcPr>
            <w:tcW w:w="3300" w:type="dxa"/>
            <w:shd w:val="clear" w:color="auto" w:fill="FFFFFF" w:themeFill="background1"/>
          </w:tcPr>
          <w:p w14:paraId="1B73D62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Ban Cố vấn lắng nghe ý kiến, quan điểm của HS và sẵn sàng chia sẻ, giải đáp những băn khoăn, thắc mắc của HS (nếu có).</w:t>
            </w:r>
          </w:p>
        </w:tc>
        <w:tc>
          <w:tcPr>
            <w:tcW w:w="3960" w:type="dxa"/>
            <w:shd w:val="clear" w:color="auto" w:fill="FFFFFF" w:themeFill="background1"/>
            <w:vAlign w:val="bottom"/>
          </w:tcPr>
          <w:p w14:paraId="268E954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MC lần lượt mời các bạn đã đăng kí tham luận lên phát biểu, trao đổi ý kiến về các nội dung trên. Đồng thời động viên các bạn HS khác tham gia ý kiến dù chưa đăng kí trước. Chú ý để các bạn tự do trình bày những suy nghĩ, quan điểm của mình càng nhiều càng tốt. </w:t>
            </w:r>
          </w:p>
          <w:p w14:paraId="7014010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HS có thể đưa ra nhận định của mình về những nội dung của diễn đàn. Cũng có thể phát biểu thể hiện sự đồng tình với những ý kiến đã phát biểu trước đó; hoặc tranh luận với những ý kiến của bạn mà bản thân thấy không đồng tình. </w:t>
            </w:r>
          </w:p>
          <w:p w14:paraId="18F3718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Mời Ban Cố vấn tham gia giải đáp những băn khoăn, vướng mắc mà HS đưa ra.</w:t>
            </w:r>
          </w:p>
        </w:tc>
        <w:tc>
          <w:tcPr>
            <w:tcW w:w="1709" w:type="dxa"/>
            <w:gridSpan w:val="2"/>
            <w:shd w:val="clear" w:color="auto" w:fill="FFFFFF" w:themeFill="background1"/>
          </w:tcPr>
          <w:p w14:paraId="18A22BF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2894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20" w:type="dxa"/>
            <w:left w:w="87" w:type="dxa"/>
            <w:bottom w:w="0" w:type="dxa"/>
            <w:right w:w="76" w:type="dxa"/>
          </w:tblCellMar>
        </w:tblPrEx>
        <w:trPr>
          <w:gridAfter w:val="1"/>
          <w:wBefore w:w="0" w:type="auto"/>
          <w:wAfter w:w="2" w:type="dxa"/>
          <w:trHeight w:val="1680" w:hRule="atLeast"/>
        </w:trPr>
        <w:tc>
          <w:tcPr>
            <w:tcW w:w="3300" w:type="dxa"/>
            <w:shd w:val="clear" w:color="auto" w:fill="FFFFFF" w:themeFill="background1"/>
          </w:tcPr>
          <w:p w14:paraId="0F7AE6E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Kết thúc diễn đàn, đại diện Ban Cố vấn tổng kết các ý kiến của HS và cùng HS đưa ra thông điệp kêu gọi các bạn HS hãy giao tiếp, ứng xử theo các chuẩn mực xã hội.</w:t>
            </w:r>
          </w:p>
        </w:tc>
        <w:tc>
          <w:tcPr>
            <w:tcW w:w="3960" w:type="dxa"/>
            <w:shd w:val="clear" w:color="auto" w:fill="FFFFFF" w:themeFill="background1"/>
          </w:tcPr>
          <w:p w14:paraId="132A328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MC mời đại diện Ban Cố vấn lên tổng kết các ý kiến của HS và cùng HS đưa ra thông điệp kêu gọi các bạn HS hãy giao tiếp, ứng xử theo các chuẩn mực xã hội. </w:t>
            </w:r>
          </w:p>
        </w:tc>
        <w:tc>
          <w:tcPr>
            <w:tcW w:w="1707" w:type="dxa"/>
            <w:shd w:val="clear" w:color="auto" w:fill="FFFFFF" w:themeFill="background1"/>
          </w:tcPr>
          <w:p w14:paraId="16C20EC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530D17C6">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B. HOẠT ĐỘNG GIÁO DỤC THEO CHỦ ĐỀ (Quy mô lớp)</w:t>
      </w:r>
    </w:p>
    <w:p w14:paraId="3A3B817B">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KHỞI ĐỘNG</w:t>
      </w:r>
    </w:p>
    <w:p w14:paraId="29E5525D">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Chơi trò chơi “Lịch sự”.</w:t>
      </w:r>
    </w:p>
    <w:p w14:paraId="4A0BA3B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a) Mục tiêu</w:t>
      </w:r>
    </w:p>
    <w:p w14:paraId="2EB1E40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phân biệt được những lời nói lịch sự, tích cực và chưa lịch sự, tích cực trong giao tiếp, ứng xử.</w:t>
      </w:r>
    </w:p>
    <w:p w14:paraId="5CFDD6C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Nhận ra ý nghĩa, tác dụng của những lời nói lịch sự, tích cực trong giao tiếp, ứng xử.</w:t>
      </w:r>
    </w:p>
    <w:p w14:paraId="310FF61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Tạo bầu không khí vui vẻ, hứng thú tìm hiểu chủ đề mới. </w:t>
      </w:r>
    </w:p>
    <w:p w14:paraId="0C1AFC4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b) Tổ chức thực hiện</w:t>
      </w:r>
    </w:p>
    <w:tbl>
      <w:tblPr>
        <w:tblStyle w:val="12"/>
        <w:tblW w:w="8856"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61" w:type="dxa"/>
          <w:left w:w="113" w:type="dxa"/>
          <w:bottom w:w="61" w:type="dxa"/>
          <w:right w:w="75" w:type="dxa"/>
        </w:tblCellMar>
      </w:tblPr>
      <w:tblGrid>
        <w:gridCol w:w="4188"/>
        <w:gridCol w:w="2464"/>
        <w:gridCol w:w="2"/>
        <w:gridCol w:w="2195"/>
        <w:gridCol w:w="7"/>
      </w:tblGrid>
      <w:tr w14:paraId="18E6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790" w:hRule="atLeast"/>
        </w:trPr>
        <w:tc>
          <w:tcPr>
            <w:tcW w:w="4188" w:type="dxa"/>
            <w:shd w:val="clear" w:color="auto" w:fill="FFFFFF" w:themeFill="background1"/>
            <w:vAlign w:val="center"/>
          </w:tcPr>
          <w:p w14:paraId="13A830E0">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cs="Times New Roman"/>
                <w:b/>
                <w:bCs/>
                <w:sz w:val="28"/>
                <w:szCs w:val="28"/>
                <w:lang w:val="en-US"/>
              </w:rPr>
              <w:t>G</w:t>
            </w:r>
            <w:r>
              <w:rPr>
                <w:rFonts w:hint="default" w:ascii="Times New Roman" w:hAnsi="Times New Roman" w:cs="Times New Roman"/>
                <w:b/>
                <w:bCs/>
                <w:sz w:val="28"/>
                <w:szCs w:val="28"/>
              </w:rPr>
              <w:t>v</w:t>
            </w:r>
          </w:p>
        </w:tc>
        <w:tc>
          <w:tcPr>
            <w:tcW w:w="2464" w:type="dxa"/>
            <w:shd w:val="clear" w:color="auto" w:fill="FFFFFF" w:themeFill="background1"/>
            <w:vAlign w:val="center"/>
          </w:tcPr>
          <w:p w14:paraId="0FAE6D57">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lang w:val="en-US"/>
              </w:rPr>
            </w:pPr>
            <w:r>
              <w:rPr>
                <w:rFonts w:hint="default" w:cs="Times New Roman"/>
                <w:b/>
                <w:bCs/>
                <w:sz w:val="28"/>
                <w:szCs w:val="28"/>
                <w:lang w:val="en-US"/>
              </w:rPr>
              <w:t>H</w:t>
            </w:r>
            <w:r>
              <w:rPr>
                <w:rFonts w:hint="default" w:ascii="Times New Roman" w:hAnsi="Times New Roman" w:cs="Times New Roman"/>
                <w:b/>
                <w:bCs/>
                <w:sz w:val="28"/>
                <w:szCs w:val="28"/>
              </w:rPr>
              <w:t xml:space="preserve">oạt động của </w:t>
            </w:r>
            <w:r>
              <w:rPr>
                <w:rFonts w:hint="default" w:cs="Times New Roman"/>
                <w:b/>
                <w:bCs/>
                <w:sz w:val="28"/>
                <w:szCs w:val="28"/>
                <w:lang w:val="en-US"/>
              </w:rPr>
              <w:t>HS</w:t>
            </w:r>
          </w:p>
        </w:tc>
        <w:tc>
          <w:tcPr>
            <w:tcW w:w="2204" w:type="dxa"/>
            <w:gridSpan w:val="3"/>
            <w:shd w:val="clear" w:color="auto" w:fill="FFFFFF" w:themeFill="background1"/>
            <w:vAlign w:val="center"/>
          </w:tcPr>
          <w:p w14:paraId="3A586978">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3FB6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2118" w:hRule="atLeast"/>
        </w:trPr>
        <w:tc>
          <w:tcPr>
            <w:tcW w:w="4188" w:type="dxa"/>
            <w:shd w:val="clear" w:color="auto" w:fill="FFFFFF" w:themeFill="background1"/>
            <w:vAlign w:val="bottom"/>
          </w:tcPr>
          <w:p w14:paraId="1412396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Giới thiệu tên trò chơi, cách chơi và luật chơi.</w:t>
            </w:r>
          </w:p>
          <w:p w14:paraId="794A260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203C370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Nếu ai nhầm lẫn, tức là không làm theo những lời yêu cầu lịch sự, hoặc làm theo những lời yêu cầu không lịch sự, thì sẽ bị loại khỏi cuộc chơi.</w:t>
            </w:r>
          </w:p>
          <w:p w14:paraId="157D456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Cử HS làm quản trò.</w:t>
            </w:r>
          </w:p>
        </w:tc>
        <w:tc>
          <w:tcPr>
            <w:tcW w:w="2464" w:type="dxa"/>
            <w:shd w:val="clear" w:color="auto" w:fill="FFFFFF" w:themeFill="background1"/>
          </w:tcPr>
          <w:p w14:paraId="15EEF06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phổ biến cách chơi và luật chơi; hỏi lại GV nếu chưa rõ.</w:t>
            </w:r>
          </w:p>
          <w:p w14:paraId="2CC9FFE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Quản trò tổ chức cho các bạn chơi thử một vài lần.</w:t>
            </w:r>
          </w:p>
          <w:p w14:paraId="24B0516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Quản trò tổ chức cho các bạn chơi với tốc độ nhanh dần. – Sau một lúc có thể thay đổi người làm quản trò.</w:t>
            </w:r>
          </w:p>
        </w:tc>
        <w:tc>
          <w:tcPr>
            <w:tcW w:w="2204" w:type="dxa"/>
            <w:gridSpan w:val="3"/>
            <w:shd w:val="clear" w:color="auto" w:fill="FFFFFF" w:themeFill="background1"/>
          </w:tcPr>
          <w:p w14:paraId="3C7A5D0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Tất cả HS trong lớp đều tham gia chơi.</w:t>
            </w:r>
          </w:p>
          <w:p w14:paraId="339B764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đều có ý thức tuân thủ luật chơi.</w:t>
            </w:r>
          </w:p>
        </w:tc>
      </w:tr>
      <w:tr w14:paraId="120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1" w:type="dxa"/>
            <w:left w:w="113" w:type="dxa"/>
            <w:bottom w:w="61" w:type="dxa"/>
            <w:right w:w="75" w:type="dxa"/>
          </w:tblCellMar>
        </w:tblPrEx>
        <w:trPr>
          <w:trHeight w:val="1036" w:hRule="atLeast"/>
        </w:trPr>
        <w:tc>
          <w:tcPr>
            <w:tcW w:w="4188" w:type="dxa"/>
            <w:shd w:val="clear" w:color="auto" w:fill="FFFFFF" w:themeFill="background1"/>
          </w:tcPr>
          <w:p w14:paraId="13B44AC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HS thảo luận sau trò chơi: Em có suy nghĩ gì sau khi chơi trò chơi?</w:t>
            </w:r>
          </w:p>
        </w:tc>
        <w:tc>
          <w:tcPr>
            <w:tcW w:w="2464" w:type="dxa"/>
            <w:shd w:val="clear" w:color="auto" w:fill="FFFFFF" w:themeFill="background1"/>
          </w:tcPr>
          <w:p w14:paraId="2A5CC03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thảo luận về ý nghĩa của trò chơi.</w:t>
            </w:r>
          </w:p>
        </w:tc>
        <w:tc>
          <w:tcPr>
            <w:tcW w:w="2204" w:type="dxa"/>
            <w:gridSpan w:val="3"/>
            <w:shd w:val="clear" w:color="auto" w:fill="FFFFFF" w:themeFill="background1"/>
          </w:tcPr>
          <w:p w14:paraId="2407A0B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06F5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69" w:type="dxa"/>
            <w:left w:w="113" w:type="dxa"/>
            <w:bottom w:w="0" w:type="dxa"/>
            <w:right w:w="75" w:type="dxa"/>
          </w:tblCellMar>
        </w:tblPrEx>
        <w:trPr>
          <w:gridAfter w:val="1"/>
          <w:wAfter w:w="7" w:type="dxa"/>
          <w:trHeight w:val="790" w:hRule="atLeast"/>
        </w:trPr>
        <w:tc>
          <w:tcPr>
            <w:tcW w:w="4188" w:type="dxa"/>
            <w:shd w:val="clear" w:color="auto" w:fill="FFFFFF" w:themeFill="background1"/>
            <w:vAlign w:val="center"/>
          </w:tcPr>
          <w:p w14:paraId="6652220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gv</w:t>
            </w:r>
          </w:p>
        </w:tc>
        <w:tc>
          <w:tcPr>
            <w:tcW w:w="2466" w:type="dxa"/>
            <w:gridSpan w:val="2"/>
            <w:shd w:val="clear" w:color="auto" w:fill="FFFFFF" w:themeFill="background1"/>
            <w:vAlign w:val="center"/>
          </w:tcPr>
          <w:p w14:paraId="0E6F88A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hS</w:t>
            </w:r>
          </w:p>
        </w:tc>
        <w:tc>
          <w:tcPr>
            <w:tcW w:w="2195" w:type="dxa"/>
            <w:shd w:val="clear" w:color="auto" w:fill="FFFFFF" w:themeFill="background1"/>
            <w:vAlign w:val="center"/>
          </w:tcPr>
          <w:p w14:paraId="2FBDF4D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Sản phẩm/ Kết quả  cần đạt</w:t>
            </w:r>
          </w:p>
        </w:tc>
      </w:tr>
      <w:tr w14:paraId="7354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9" w:type="dxa"/>
            <w:left w:w="113" w:type="dxa"/>
            <w:bottom w:w="0" w:type="dxa"/>
            <w:right w:w="75" w:type="dxa"/>
          </w:tblCellMar>
        </w:tblPrEx>
        <w:trPr>
          <w:gridAfter w:val="1"/>
          <w:wAfter w:w="7" w:type="dxa"/>
          <w:trHeight w:val="2524" w:hRule="atLeast"/>
        </w:trPr>
        <w:tc>
          <w:tcPr>
            <w:tcW w:w="4188" w:type="dxa"/>
            <w:shd w:val="clear" w:color="auto" w:fill="FFFFFF" w:themeFill="background1"/>
          </w:tcPr>
          <w:p w14:paraId="74DCB82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kết luận: Những lời yêu cầu, đề nghị lịch sự trong giao tiếp, ứng xử thể hiện sự tôn trọng đối tượng giao tiếp, khiến họ cảm thấy dễ chịu, giúp cho mối quan hệ trở nên gần gũi, tốt đẹp hơn. Ngược lại, những lời nói chưa lịch sự khiến người nghe cảm thấy bị xúc phạm, khó chịu và không muốn làm theo.</w:t>
            </w:r>
          </w:p>
          <w:p w14:paraId="2EB1DC7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chuyển ý, giới thiệu chủ đề hoạt động.</w:t>
            </w:r>
          </w:p>
        </w:tc>
        <w:tc>
          <w:tcPr>
            <w:tcW w:w="2466" w:type="dxa"/>
            <w:gridSpan w:val="2"/>
            <w:shd w:val="clear" w:color="auto" w:fill="FFFFFF" w:themeFill="background1"/>
          </w:tcPr>
          <w:p w14:paraId="233A7D4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c>
          <w:tcPr>
            <w:tcW w:w="2195" w:type="dxa"/>
            <w:shd w:val="clear" w:color="auto" w:fill="FFFFFF" w:themeFill="background1"/>
          </w:tcPr>
          <w:p w14:paraId="3371539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6088E9E2">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KHÁM PHÁ – KẾT NỐI</w:t>
      </w:r>
    </w:p>
    <w:p w14:paraId="743929C8">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Hoạt động 1. Tìm hiểu điểm tích cực và chưa tích cực trong hành vi giao tiếp, ứng xử</w:t>
      </w:r>
    </w:p>
    <w:p w14:paraId="74BED74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 Mục tiêu </w:t>
      </w:r>
    </w:p>
    <w:p w14:paraId="3BA9B2D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HS nêu được những biểu hiện tích cực và chưa tích cực trong hành vi giao tiếp, ứng xử.</w:t>
      </w:r>
    </w:p>
    <w:p w14:paraId="42D2E93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b) Tổ chức thực hiện</w:t>
      </w:r>
    </w:p>
    <w:tbl>
      <w:tblPr>
        <w:tblStyle w:val="12"/>
        <w:tblW w:w="894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13" w:type="dxa"/>
          <w:bottom w:w="0" w:type="dxa"/>
          <w:right w:w="75" w:type="dxa"/>
        </w:tblCellMar>
      </w:tblPr>
      <w:tblGrid>
        <w:gridCol w:w="4274"/>
        <w:gridCol w:w="3"/>
        <w:gridCol w:w="2423"/>
        <w:gridCol w:w="3"/>
        <w:gridCol w:w="2233"/>
        <w:gridCol w:w="4"/>
      </w:tblGrid>
      <w:tr w14:paraId="7F6D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4277" w:type="dxa"/>
            <w:gridSpan w:val="2"/>
            <w:shd w:val="clear" w:color="auto" w:fill="FFFFFF" w:themeFill="background1"/>
            <w:vAlign w:val="center"/>
          </w:tcPr>
          <w:p w14:paraId="01DD5DA2">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gv</w:t>
            </w:r>
          </w:p>
        </w:tc>
        <w:tc>
          <w:tcPr>
            <w:tcW w:w="2426" w:type="dxa"/>
            <w:gridSpan w:val="2"/>
            <w:shd w:val="clear" w:color="auto" w:fill="FFFFFF" w:themeFill="background1"/>
            <w:vAlign w:val="center"/>
          </w:tcPr>
          <w:p w14:paraId="005BBA41">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cs="Times New Roman"/>
                <w:b/>
                <w:bCs/>
                <w:sz w:val="28"/>
                <w:szCs w:val="28"/>
                <w:lang w:val="en-US"/>
              </w:rPr>
              <w:t>H</w:t>
            </w:r>
            <w:r>
              <w:rPr>
                <w:rFonts w:hint="default" w:ascii="Times New Roman" w:hAnsi="Times New Roman" w:cs="Times New Roman"/>
                <w:b/>
                <w:bCs/>
                <w:sz w:val="28"/>
                <w:szCs w:val="28"/>
              </w:rPr>
              <w:t>oạt động của hS</w:t>
            </w:r>
          </w:p>
        </w:tc>
        <w:tc>
          <w:tcPr>
            <w:tcW w:w="2237" w:type="dxa"/>
            <w:gridSpan w:val="2"/>
            <w:shd w:val="clear" w:color="auto" w:fill="FFFFFF" w:themeFill="background1"/>
            <w:vAlign w:val="center"/>
          </w:tcPr>
          <w:p w14:paraId="7D17ED89">
            <w:pPr>
              <w:keepNext w:val="0"/>
              <w:keepLines w:val="0"/>
              <w:pageBreakBefore w:val="0"/>
              <w:widowControl/>
              <w:kinsoku/>
              <w:wordWrap/>
              <w:overflowPunct/>
              <w:topLinePunct w:val="0"/>
              <w:autoSpaceDE/>
              <w:autoSpaceDN/>
              <w:bidi w:val="0"/>
              <w:adjustRightInd/>
              <w:snapToGrid/>
              <w:spacing w:after="0" w:line="272" w:lineRule="auto"/>
              <w:ind w:left="11" w:hanging="11"/>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Sản phẩm/ Kết quả  cần đạt</w:t>
            </w:r>
          </w:p>
        </w:tc>
      </w:tr>
      <w:tr w14:paraId="45B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790" w:hRule="atLeast"/>
        </w:trPr>
        <w:tc>
          <w:tcPr>
            <w:tcW w:w="8940" w:type="dxa"/>
            <w:gridSpan w:val="6"/>
            <w:shd w:val="clear" w:color="auto" w:fill="FFFFFF" w:themeFill="background1"/>
            <w:vAlign w:val="center"/>
          </w:tcPr>
          <w:p w14:paraId="1A3BE18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Nhiệm vụ 1: Chỉ ra những điểm tích cực và chưa tích cực trong hành vi giao tiếp, ứng xử của các nhân vật trong mỗi tình huống giao tiếp ở trang 12, SGK </w:t>
            </w:r>
          </w:p>
        </w:tc>
      </w:tr>
      <w:tr w14:paraId="297D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1483" w:hRule="atLeast"/>
        </w:trPr>
        <w:tc>
          <w:tcPr>
            <w:tcW w:w="4277" w:type="dxa"/>
            <w:gridSpan w:val="2"/>
            <w:shd w:val="clear" w:color="auto" w:fill="FFFFFF" w:themeFill="background1"/>
          </w:tcPr>
          <w:p w14:paraId="28F1478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chia HS thành các nhóm nhỏ, phân công mỗi nhóm nghiên cứu một tình huống ở trang 12, SGK; chỉ ra những điểm tích cực và chưa tích cực trong hành vi giao tiếp, ứng xử của nhân vật trong mỗi tình huống.</w:t>
            </w:r>
          </w:p>
        </w:tc>
        <w:tc>
          <w:tcPr>
            <w:tcW w:w="2426" w:type="dxa"/>
            <w:gridSpan w:val="2"/>
            <w:shd w:val="clear" w:color="auto" w:fill="FFFFFF" w:themeFill="background1"/>
          </w:tcPr>
          <w:p w14:paraId="3A0B23C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phân công nhiệm vụ.</w:t>
            </w:r>
          </w:p>
          <w:p w14:paraId="6A053F1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HS làm việc nhóm, thực hiện nhiệm vụ và cử người ghi chép kết quả.</w:t>
            </w:r>
          </w:p>
        </w:tc>
        <w:tc>
          <w:tcPr>
            <w:tcW w:w="2237" w:type="dxa"/>
            <w:gridSpan w:val="2"/>
            <w:shd w:val="clear" w:color="auto" w:fill="FFFFFF" w:themeFill="background1"/>
          </w:tcPr>
          <w:p w14:paraId="2B7E7BC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Sản phẩm hoạt động của mỗi nhóm chính là bản ghi kết quả thảo luận của HS trong nhóm.</w:t>
            </w:r>
          </w:p>
          <w:p w14:paraId="33D560F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Sản phẩm hoạt động </w:t>
            </w:r>
          </w:p>
        </w:tc>
      </w:tr>
      <w:tr w14:paraId="64AB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trHeight w:val="3881" w:hRule="atLeast"/>
        </w:trPr>
        <w:tc>
          <w:tcPr>
            <w:tcW w:w="4277" w:type="dxa"/>
            <w:gridSpan w:val="2"/>
            <w:shd w:val="clear" w:color="auto" w:fill="FFFFFF" w:themeFill="background1"/>
            <w:vAlign w:val="center"/>
          </w:tcPr>
          <w:p w14:paraId="0AD4E26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HS trình bày kết quả phân tích các tình huống.</w:t>
            </w:r>
          </w:p>
          <w:p w14:paraId="440C72AE">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tổng kết các ý kiến và kết luận:</w:t>
            </w:r>
          </w:p>
          <w:p w14:paraId="07A69ED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Tình huống 1: Lê và các bạn đã có những hành vi giao tiếp, ứng xử chưa tích cực như: Quên không xin lỗi khi được giúp đỡ; Cười nói, làm ồn trong thư viện.</w:t>
            </w:r>
          </w:p>
          <w:p w14:paraId="40429DE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Tình huống 2: Huy và cậu bé có những hành vi giao tiếp, ứng xử tích cực như: Cậu bé đã biết xin lỗi khi va phải người khác; Huy đã biết kiềm chế cơn giận và nhắc nhở cậu bé một cách nhẹ nhàng, không sử dụng bạo lực.</w:t>
            </w:r>
          </w:p>
        </w:tc>
        <w:tc>
          <w:tcPr>
            <w:tcW w:w="2426" w:type="dxa"/>
            <w:gridSpan w:val="2"/>
            <w:shd w:val="clear" w:color="auto" w:fill="FFFFFF" w:themeFill="background1"/>
          </w:tcPr>
          <w:p w14:paraId="7CB3228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Đại diện các nhóm trình bày ý kiến.</w:t>
            </w:r>
          </w:p>
          <w:p w14:paraId="34D73607">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Thảo luận chung.</w:t>
            </w:r>
          </w:p>
        </w:tc>
        <w:tc>
          <w:tcPr>
            <w:tcW w:w="2237" w:type="dxa"/>
            <w:gridSpan w:val="2"/>
            <w:shd w:val="clear" w:color="auto" w:fill="FFFFFF" w:themeFill="background1"/>
          </w:tcPr>
          <w:p w14:paraId="2373695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nhóm phải chỉ ra được điểm nào là tích cực, điểm nào là chưa tích cực trong hành vi của các nhân vật trong mỗi tình huống và giải thích rõ lí do.</w:t>
            </w:r>
          </w:p>
        </w:tc>
      </w:tr>
      <w:tr w14:paraId="5909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790" w:hRule="atLeast"/>
        </w:trPr>
        <w:tc>
          <w:tcPr>
            <w:tcW w:w="4274" w:type="dxa"/>
            <w:shd w:val="clear" w:color="auto" w:fill="FFFFFF" w:themeFill="background1"/>
            <w:vAlign w:val="center"/>
          </w:tcPr>
          <w:p w14:paraId="6DB7B39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gv</w:t>
            </w:r>
          </w:p>
        </w:tc>
        <w:tc>
          <w:tcPr>
            <w:tcW w:w="2426" w:type="dxa"/>
            <w:gridSpan w:val="2"/>
            <w:shd w:val="clear" w:color="auto" w:fill="FFFFFF" w:themeFill="background1"/>
            <w:vAlign w:val="center"/>
          </w:tcPr>
          <w:p w14:paraId="6E09607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hoạt động của hS</w:t>
            </w:r>
          </w:p>
        </w:tc>
        <w:tc>
          <w:tcPr>
            <w:tcW w:w="2236" w:type="dxa"/>
            <w:gridSpan w:val="2"/>
            <w:shd w:val="clear" w:color="auto" w:fill="FFFFFF" w:themeFill="background1"/>
            <w:vAlign w:val="center"/>
          </w:tcPr>
          <w:p w14:paraId="3D0FF13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Sản phẩm/ Kết quả  cần đạt</w:t>
            </w:r>
          </w:p>
        </w:tc>
      </w:tr>
      <w:tr w14:paraId="7E25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520" w:hRule="atLeast"/>
        </w:trPr>
        <w:tc>
          <w:tcPr>
            <w:tcW w:w="8936" w:type="dxa"/>
            <w:gridSpan w:val="5"/>
            <w:shd w:val="clear" w:color="auto" w:fill="FFFFFF" w:themeFill="background1"/>
            <w:vAlign w:val="center"/>
          </w:tcPr>
          <w:p w14:paraId="2C72067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Nhiệm vụ 2: Thảo luận về những điểm tích cực và chưa tích cực trong hành vi giao tiếp, ứng xử</w:t>
            </w:r>
          </w:p>
        </w:tc>
      </w:tr>
      <w:tr w14:paraId="0D8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1617" w:hRule="atLeast"/>
        </w:trPr>
        <w:tc>
          <w:tcPr>
            <w:tcW w:w="4274" w:type="dxa"/>
            <w:shd w:val="clear" w:color="auto" w:fill="FFFFFF" w:themeFill="background1"/>
            <w:vAlign w:val="bottom"/>
          </w:tcPr>
          <w:p w14:paraId="64FE3464">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giao nhiệm vụ cho các nhóm thảo luận, liệt kê những điểm tích cực và chưa tích cực trong hành vi giao tiếp, ứng xử.</w:t>
            </w:r>
          </w:p>
          <w:p w14:paraId="5AB269CB">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GV yêu cầu HS trước khi tiến hành thảo luận có thể tham khảo thêm các ví dụ trong SGK.</w:t>
            </w:r>
          </w:p>
        </w:tc>
        <w:tc>
          <w:tcPr>
            <w:tcW w:w="2426" w:type="dxa"/>
            <w:gridSpan w:val="2"/>
            <w:shd w:val="clear" w:color="auto" w:fill="FFFFFF" w:themeFill="background1"/>
          </w:tcPr>
          <w:p w14:paraId="3DE0A8E1">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Lắng nghe GV phân công nhiệm vụ.</w:t>
            </w:r>
          </w:p>
        </w:tc>
        <w:tc>
          <w:tcPr>
            <w:tcW w:w="2236" w:type="dxa"/>
            <w:gridSpan w:val="2"/>
            <w:shd w:val="clear" w:color="auto" w:fill="FFFFFF" w:themeFill="background1"/>
            <w:vAlign w:val="bottom"/>
          </w:tcPr>
          <w:p w14:paraId="7D4E3552">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Tất cả HS trong nhóm đều phải tham gia vào quá trình làm việc nhóm.</w:t>
            </w:r>
          </w:p>
          <w:p w14:paraId="7DD3E65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Sản phẩm hoạt động của mỗi nhóm là giấy A0 ghi kết </w:t>
            </w:r>
          </w:p>
        </w:tc>
      </w:tr>
      <w:tr w14:paraId="0933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1305" w:hRule="atLeast"/>
        </w:trPr>
        <w:tc>
          <w:tcPr>
            <w:tcW w:w="4274" w:type="dxa"/>
            <w:shd w:val="clear" w:color="auto" w:fill="FFFFFF" w:themeFill="background1"/>
          </w:tcPr>
          <w:p w14:paraId="0AF9AAB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c>
          <w:tcPr>
            <w:tcW w:w="2426" w:type="dxa"/>
            <w:gridSpan w:val="2"/>
            <w:shd w:val="clear" w:color="auto" w:fill="FFFFFF" w:themeFill="background1"/>
          </w:tcPr>
          <w:p w14:paraId="721AA77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Các nhóm HS thảo luận, ghi kết quả ra giấy A0, dưới hình thức bảng so sánh, sơ đồ tư duy, hình vẽ,…</w:t>
            </w:r>
          </w:p>
        </w:tc>
        <w:tc>
          <w:tcPr>
            <w:tcW w:w="2236" w:type="dxa"/>
            <w:gridSpan w:val="2"/>
            <w:shd w:val="clear" w:color="auto" w:fill="FFFFFF" w:themeFill="background1"/>
          </w:tcPr>
          <w:p w14:paraId="4B8F5FB3">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quả thảo luận nhóm.</w:t>
            </w:r>
          </w:p>
          <w:p w14:paraId="00ACF04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Kết quả làm việc nhóm có thể trình bày dưới các hình thức khác nhau.</w:t>
            </w:r>
          </w:p>
        </w:tc>
      </w:tr>
      <w:tr w14:paraId="7822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1543" w:hRule="atLeast"/>
        </w:trPr>
        <w:tc>
          <w:tcPr>
            <w:tcW w:w="4274" w:type="dxa"/>
            <w:shd w:val="clear" w:color="auto" w:fill="FFFFFF" w:themeFill="background1"/>
          </w:tcPr>
          <w:p w14:paraId="51F9AE1C">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GV tổ chức cho các nhóm trình bày kết quả thảo luận.</w:t>
            </w:r>
          </w:p>
        </w:tc>
        <w:tc>
          <w:tcPr>
            <w:tcW w:w="2426" w:type="dxa"/>
            <w:gridSpan w:val="2"/>
            <w:shd w:val="clear" w:color="auto" w:fill="FFFFFF" w:themeFill="background1"/>
          </w:tcPr>
          <w:p w14:paraId="464B0CF5">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Các nhóm HS triển lãm kết quả thảo luận trên bảng và tường xung quanh lớp học. </w:t>
            </w:r>
          </w:p>
          <w:p w14:paraId="6AC78BF9">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Cả lớp đi xem và ghi ý kiến nhận xét bổ sung.</w:t>
            </w:r>
          </w:p>
        </w:tc>
        <w:tc>
          <w:tcPr>
            <w:tcW w:w="2236" w:type="dxa"/>
            <w:gridSpan w:val="2"/>
            <w:shd w:val="clear" w:color="auto" w:fill="FFFFFF" w:themeFill="background1"/>
          </w:tcPr>
          <w:p w14:paraId="59FCB7CF">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r w14:paraId="4C7A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13" w:type="dxa"/>
            <w:bottom w:w="0" w:type="dxa"/>
            <w:right w:w="75" w:type="dxa"/>
          </w:tblCellMar>
        </w:tblPrEx>
        <w:trPr>
          <w:gridAfter w:val="1"/>
          <w:wAfter w:w="4" w:type="dxa"/>
          <w:trHeight w:val="4602" w:hRule="atLeast"/>
        </w:trPr>
        <w:tc>
          <w:tcPr>
            <w:tcW w:w="4274" w:type="dxa"/>
            <w:shd w:val="clear" w:color="auto" w:fill="FFFFFF" w:themeFill="background1"/>
          </w:tcPr>
          <w:p w14:paraId="04F543CA">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GV tổng kết các ý kiến và kết luận: </w:t>
            </w:r>
          </w:p>
          <w:p w14:paraId="544B691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Hành vi giao tiếp tích cực: Tôn trọng, chân thành khi giao tiếp; Chào hỏi thân thiện khi gặp gỡ; Chào tạm biệt khi chia tay; Cảm ơn khi được giúp đỡ; Xin lỗi khi làm phiền người khác; Nói lời yêu cầu, đề nghị lịch sự; Lắng nghe tích cực; Luôn mỉm cười khi giao tiếp; Luôn tìm những điểm hay, điểm tốt của người khác để khen ngợi và học tập; Không có những cử chỉ, điệu bộ, lời nói, thái độ,… làm tổn thương người khác; Giúp đỡ cụ già, em nhỏ, phụ nữ có thai;…</w:t>
            </w:r>
          </w:p>
          <w:p w14:paraId="0372C020">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Hành vi giao tiếp chưa tích cực: Ngắt lời khi người khác đang nói mà không xin lỗi trước; Có những thái độ, lời nói, cử chỉ, hành động xúc phạm, làm tổn thương đối tượng giao tiếp;… </w:t>
            </w:r>
          </w:p>
        </w:tc>
        <w:tc>
          <w:tcPr>
            <w:tcW w:w="2426" w:type="dxa"/>
            <w:gridSpan w:val="2"/>
            <w:shd w:val="clear" w:color="auto" w:fill="FFFFFF" w:themeFill="background1"/>
          </w:tcPr>
          <w:p w14:paraId="35ECA27D">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r>
              <w:rPr>
                <w:rFonts w:hint="default" w:ascii="Times New Roman" w:hAnsi="Times New Roman" w:cs="Times New Roman"/>
                <w:sz w:val="28"/>
                <w:szCs w:val="28"/>
              </w:rPr>
              <w:t>– Ghi những hành vi giao tiếp, ứng xử tích cực và chưa tích cực vào SBT.</w:t>
            </w:r>
          </w:p>
        </w:tc>
        <w:tc>
          <w:tcPr>
            <w:tcW w:w="2236" w:type="dxa"/>
            <w:gridSpan w:val="2"/>
            <w:shd w:val="clear" w:color="auto" w:fill="FFFFFF" w:themeFill="background1"/>
          </w:tcPr>
          <w:p w14:paraId="7297DE78">
            <w:pPr>
              <w:keepNext w:val="0"/>
              <w:keepLines w:val="0"/>
              <w:pageBreakBefore w:val="0"/>
              <w:widowControl/>
              <w:kinsoku/>
              <w:wordWrap/>
              <w:overflowPunct/>
              <w:topLinePunct w:val="0"/>
              <w:autoSpaceDE/>
              <w:autoSpaceDN/>
              <w:bidi w:val="0"/>
              <w:adjustRightInd/>
              <w:snapToGrid/>
              <w:spacing w:after="0" w:line="272" w:lineRule="auto"/>
              <w:ind w:left="11" w:hanging="11"/>
              <w:textAlignment w:val="auto"/>
              <w:rPr>
                <w:rFonts w:hint="default" w:ascii="Times New Roman" w:hAnsi="Times New Roman" w:cs="Times New Roman"/>
                <w:sz w:val="28"/>
                <w:szCs w:val="28"/>
              </w:rPr>
            </w:pPr>
          </w:p>
        </w:tc>
      </w:tr>
    </w:tbl>
    <w:p w14:paraId="3806534D">
      <w:pPr>
        <w:ind w:left="0" w:leftChars="0" w:firstLine="0" w:firstLineChars="0"/>
        <w:rPr>
          <w:rFonts w:hint="default"/>
          <w:b/>
          <w:bCs/>
          <w:lang w:val="en-US"/>
        </w:rPr>
      </w:pPr>
      <w:r>
        <w:rPr>
          <w:rFonts w:hint="default"/>
          <w:b/>
          <w:bCs/>
          <w:lang w:val="en-US"/>
        </w:rPr>
        <w:t>* Hướng dẫn chuẩn bị bài:</w:t>
      </w:r>
    </w:p>
    <w:p w14:paraId="5966E582">
      <w:pPr>
        <w:ind w:left="250" w:leftChars="100" w:firstLine="115" w:firstLineChars="46"/>
        <w:rPr>
          <w:rFonts w:hint="default"/>
          <w:lang w:val="en-US"/>
        </w:rPr>
      </w:pPr>
      <w:r>
        <w:rPr>
          <w:rFonts w:hint="default"/>
          <w:lang w:val="en-US"/>
        </w:rPr>
        <w:t>Tiếp tục đọc tìm hiểu các tình hướng phần thưc hành và vận dụng</w:t>
      </w:r>
    </w:p>
    <w:p w14:paraId="2E5FAE64">
      <w:pPr>
        <w:ind w:left="250" w:leftChars="100" w:firstLine="4365" w:firstLineChars="1745"/>
        <w:rPr>
          <w:rFonts w:hint="default"/>
          <w:b/>
          <w:bCs/>
          <w:i/>
          <w:iCs/>
          <w:lang w:val="en-US"/>
        </w:rPr>
      </w:pPr>
      <w:r>
        <w:rPr>
          <w:rFonts w:hint="default"/>
          <w:b/>
          <w:bCs/>
          <w:i/>
          <w:iCs/>
          <w:lang w:val="en-US"/>
        </w:rPr>
        <w:t>Kí kiểm tra của tổ chuyên môn</w:t>
      </w:r>
    </w:p>
    <w:sectPr>
      <w:headerReference r:id="rId5" w:type="default"/>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Text Light">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ajorEastAsia"/>
        <w:b/>
        <w:bCs/>
        <w:i/>
        <w:sz w:val="28"/>
        <w:szCs w:val="28"/>
      </w:rPr>
      <w:alias w:val="Title"/>
      <w:id w:val="147459936"/>
      <w:placeholder>
        <w:docPart w:val="{ed8be1e7-9847-4b7e-9c74-2775e54691ff}"/>
      </w:placeholder>
      <w: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eastAsiaTheme="majorEastAsia"/>
        <w:b/>
        <w:bCs/>
        <w:i/>
        <w:sz w:val="28"/>
        <w:szCs w:val="28"/>
      </w:rPr>
    </w:sdtEndPr>
    <w:sdtContent>
      <w:p w14:paraId="4706E27F">
        <w:pPr>
          <w:pStyle w:val="10"/>
          <w:pBdr>
            <w:bottom w:val="thickThinSmallGap" w:color="823B0B" w:themeColor="accent2" w:themeShade="7F" w:sz="24" w:space="0"/>
          </w:pBdr>
          <w:tabs>
            <w:tab w:val="center" w:pos="4680"/>
            <w:tab w:val="right" w:pos="9360"/>
            <w:tab w:val="clear" w:pos="4153"/>
            <w:tab w:val="clear" w:pos="8306"/>
          </w:tabs>
          <w:ind w:left="-500" w:leftChars="-200" w:right="-440" w:rightChars="-176" w:firstLine="0" w:firstLineChars="0"/>
          <w:jc w:val="center"/>
        </w:pPr>
        <w:r>
          <w:rPr>
            <w:rFonts w:hint="default" w:ascii="Times New Roman" w:hAnsi="Times New Roman" w:cs="Times New Roman" w:eastAsiaTheme="majorEastAsia"/>
            <w:b/>
            <w:bCs/>
            <w:i/>
            <w:sz w:val="28"/>
            <w:szCs w:val="28"/>
            <w:lang w:val="en-US"/>
          </w:rPr>
          <w:t>Trường TH &amp; THCS Thái Hòa - Nguyễn Thị Mây –  HĐTN HN9 – NS : 31/08/2024</w:t>
        </w:r>
      </w:p>
    </w:sdtContent>
  </w:sdt>
  <w:p w14:paraId="60D4B0C2">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60ABE"/>
    <w:rsid w:val="28341582"/>
    <w:rsid w:val="29453586"/>
    <w:rsid w:val="376B63AA"/>
    <w:rsid w:val="5643559E"/>
    <w:rsid w:val="7552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1" w:line="271" w:lineRule="auto"/>
      <w:ind w:left="10" w:hanging="10"/>
      <w:jc w:val="both"/>
    </w:pPr>
    <w:rPr>
      <w:rFonts w:ascii="Times New Roman" w:hAnsi="Times New Roman" w:eastAsia="Times New Roman" w:cs="Times New Roman"/>
      <w:color w:val="181717"/>
      <w:sz w:val="25"/>
      <w:szCs w:val="22"/>
      <w:lang w:val="en-US" w:eastAsia="en-US" w:bidi="ar-SA"/>
    </w:rPr>
  </w:style>
  <w:style w:type="paragraph" w:styleId="2">
    <w:name w:val="heading 1"/>
    <w:next w:val="1"/>
    <w:unhideWhenUsed/>
    <w:qFormat/>
    <w:uiPriority w:val="9"/>
    <w:pPr>
      <w:keepNext/>
      <w:keepLines/>
      <w:spacing w:after="25" w:line="268" w:lineRule="auto"/>
      <w:ind w:left="10" w:right="284" w:hanging="10"/>
      <w:outlineLvl w:val="0"/>
    </w:pPr>
    <w:rPr>
      <w:rFonts w:ascii="Calibri" w:hAnsi="Calibri" w:eastAsia="Calibri" w:cs="Calibri"/>
      <w:color w:val="00975E"/>
      <w:sz w:val="46"/>
      <w:szCs w:val="22"/>
      <w:lang w:val="en-US" w:eastAsia="en-US" w:bidi="ar-SA"/>
    </w:rPr>
  </w:style>
  <w:style w:type="paragraph" w:styleId="3">
    <w:name w:val="heading 2"/>
    <w:next w:val="1"/>
    <w:unhideWhenUsed/>
    <w:qFormat/>
    <w:uiPriority w:val="9"/>
    <w:pPr>
      <w:keepNext/>
      <w:keepLines/>
      <w:spacing w:after="0" w:line="259" w:lineRule="auto"/>
      <w:ind w:left="1078" w:hanging="10"/>
      <w:jc w:val="center"/>
      <w:outlineLvl w:val="1"/>
    </w:pPr>
    <w:rPr>
      <w:rFonts w:ascii="Calibri" w:hAnsi="Calibri" w:eastAsia="Calibri" w:cs="Calibri"/>
      <w:b/>
      <w:color w:val="00975E"/>
      <w:sz w:val="44"/>
      <w:szCs w:val="22"/>
      <w:lang w:val="en-US" w:eastAsia="en-US" w:bidi="ar-SA"/>
    </w:rPr>
  </w:style>
  <w:style w:type="paragraph" w:styleId="4">
    <w:name w:val="heading 3"/>
    <w:next w:val="1"/>
    <w:unhideWhenUsed/>
    <w:qFormat/>
    <w:uiPriority w:val="9"/>
    <w:pPr>
      <w:keepNext/>
      <w:keepLines/>
      <w:spacing w:after="79" w:line="259" w:lineRule="auto"/>
      <w:ind w:left="295" w:hanging="10"/>
      <w:outlineLvl w:val="2"/>
    </w:pPr>
    <w:rPr>
      <w:rFonts w:ascii="Times New Roman" w:hAnsi="Times New Roman" w:eastAsia="Times New Roman" w:cs="Times New Roman"/>
      <w:b/>
      <w:color w:val="007E50"/>
      <w:sz w:val="28"/>
      <w:szCs w:val="22"/>
      <w:lang w:val="en-US" w:eastAsia="en-US" w:bidi="ar-SA"/>
    </w:rPr>
  </w:style>
  <w:style w:type="paragraph" w:styleId="5">
    <w:name w:val="heading 4"/>
    <w:next w:val="1"/>
    <w:unhideWhenUsed/>
    <w:qFormat/>
    <w:uiPriority w:val="9"/>
    <w:pPr>
      <w:keepNext/>
      <w:keepLines/>
      <w:spacing w:after="56" w:line="255" w:lineRule="auto"/>
      <w:ind w:left="293" w:hanging="10"/>
      <w:outlineLvl w:val="3"/>
    </w:pPr>
    <w:rPr>
      <w:rFonts w:ascii="Calibri" w:hAnsi="Calibri" w:eastAsia="Calibri" w:cs="Calibri"/>
      <w:b/>
      <w:color w:val="007E50"/>
      <w:sz w:val="25"/>
      <w:szCs w:val="22"/>
      <w:lang w:val="en-US" w:eastAsia="en-US" w:bidi="ar-SA"/>
    </w:rPr>
  </w:style>
  <w:style w:type="paragraph" w:styleId="6">
    <w:name w:val="heading 5"/>
    <w:next w:val="1"/>
    <w:unhideWhenUsed/>
    <w:qFormat/>
    <w:uiPriority w:val="9"/>
    <w:pPr>
      <w:keepNext/>
      <w:keepLines/>
      <w:spacing w:after="56" w:line="255" w:lineRule="auto"/>
      <w:ind w:left="293" w:hanging="10"/>
      <w:outlineLvl w:val="4"/>
    </w:pPr>
    <w:rPr>
      <w:rFonts w:ascii="Calibri" w:hAnsi="Calibri" w:eastAsia="Calibri" w:cs="Calibri"/>
      <w:b/>
      <w:color w:val="007E50"/>
      <w:sz w:val="25"/>
      <w:szCs w:val="22"/>
      <w:lang w:val="en-US" w:eastAsia="en-US" w:bidi="ar-SA"/>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table" w:styleId="11">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8be1e7-9847-4b7e-9c74-2775e54691ff}"/>
        <w:style w:val=""/>
        <w:category>
          <w:name w:val="General"/>
          <w:gallery w:val="placeholder"/>
        </w:category>
        <w:types>
          <w:type w:val="bbPlcHdr"/>
        </w:types>
        <w:behaviors>
          <w:behavior w:val="content"/>
        </w:behaviors>
        <w:description w:val=""/>
        <w:guid w:val="{ed8be1e7-9847-4b7e-9c74-2775e54691ff}"/>
      </w:docPartPr>
      <w:docPartBody>
        <w:p w14:paraId="1DC64F97">
          <w:pPr>
            <w:pStyle w:val="1"/>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 w:type="paragraph" w:customStyle="1" w:styleId="1">
    <w:name w:val="7BCEF5090EF14CBD89FE1E08C5B8E001"/>
    <w:qFormat/>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2024-08-06T23:26:00Z</dcterms:created>
  <dcterms:modified xsi:type="dcterms:W3CDTF">2024-08-08T03:27:24Z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46C5709EB02340BE904732B0502271F9_12</vt:lpwstr>
  </property>
</Properties>
</file>